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 luhkso@yandex.ru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п.Лух                                                                               от «26»февраля 2024 года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№ 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C9211E"/>
          <w:sz w:val="20"/>
          <w:szCs w:val="20"/>
        </w:rPr>
      </w:pPr>
      <w:r>
        <w:rPr>
          <w:rFonts w:cs="Times New Roman" w:ascii="Times New Roman" w:hAnsi="Times New Roman"/>
          <w:color w:val="C9211E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20.02.2024 г. № 5.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Предмет экспертизы:</w:t>
      </w:r>
      <w:r>
        <w:rPr>
          <w:rFonts w:cs="Times New Roman" w:ascii="Times New Roman" w:hAnsi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Цель экспертизы: </w:t>
      </w:r>
      <w:r>
        <w:rPr>
          <w:rFonts w:cs="Times New Roman" w:ascii="Times New Roman" w:hAnsi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color w:val="C9211E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Объекты экспертизы: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Администрация Лухского муниципального района, как орган, уполномоченный на внесение проекта решения для утверждения в Совет Лухского городского поселения;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Совет Лухского городского поселения, как орган, уполномоченный на утверждение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экспертизы: </w:t>
      </w:r>
      <w:r>
        <w:rPr>
          <w:rFonts w:cs="Times New Roman" w:ascii="Times New Roman" w:hAnsi="Times New Roman"/>
          <w:sz w:val="28"/>
          <w:szCs w:val="28"/>
        </w:rPr>
        <w:t>с 20.02.2024г. по 22.02.2024г.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Исполнитель экспертно-аналитического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Контрольно-счетного органа Лухского муниципального района Фомина Л.К.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Проектом решения предлагается внести изменения в показатели основных характеристик бюджета Лухского городского поселения (далее по тексту – бюджет), утвержденные статьей 1 решения Совета Лухского городского поселения от 26.12.2023г. №22 «О бюджете Лухского городского поселения на 2024 год и плановый период 2025 и 2026 годов» (далее – решение Совета Лухского муниципального района от 26.12.2023г. №22):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2024 год: 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доходов бюджета увеличится на 14 769 204,69 руб. и составит 42 405 047,64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16 409 610,78 руб. и составит 44 045 453,73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дефицита  бюджета увеличится на 1 640 406,09 руб. и составит 1 640 406,09 руб.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Утверждаемый дефицит бюджета составляет 11,803%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 и </w:t>
      </w:r>
      <w:r>
        <w:rPr>
          <w:rFonts w:eastAsia="Times New Roman" w:ascii="Times New Roman" w:hAnsi="Times New Roman"/>
          <w:bCs/>
          <w:sz w:val="28"/>
          <w:szCs w:val="28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на счетах).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sz w:val="28"/>
          <w:szCs w:val="28"/>
        </w:rPr>
        <w:t>Изменение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Основные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характеристики бюджета Лухского городского поселения на плановый период 2025 и 2026 годов не изменились.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 xml:space="preserve">2.Проектом решения предлагается приложение №2 «Доходы бюджета Лухского городского поселения по кодам классификации доходов бюджета на 2024 год и плановый период 2025 и 2026 годов» к решению Совета Лухского городского поселения от 26.12.2023г. №22 изложить в новой редакции, согласно которого общий объем доходов бюджета на 2024 год увеличен на 14 769 204,69 руб. и составит </w:t>
      </w:r>
      <w:r>
        <w:rPr>
          <w:rFonts w:eastAsia="Times New Roman" w:ascii="Times New Roman" w:hAnsi="Times New Roman"/>
          <w:bCs/>
          <w:sz w:val="28"/>
          <w:szCs w:val="28"/>
        </w:rPr>
        <w:t xml:space="preserve">42 405 047,64 </w:t>
      </w:r>
      <w:r>
        <w:rPr>
          <w:rFonts w:eastAsia="Times New Roman" w:ascii="Times New Roman" w:hAnsi="Times New Roman"/>
          <w:sz w:val="28"/>
          <w:szCs w:val="28"/>
        </w:rPr>
        <w:t xml:space="preserve">руб. Анализ предлагаемых изменений приведен в Приложении №1 к настоящему заключению. 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3.Проектом  решения предлагается пункт 2 статьи 3 к решению Совета Лухского городского поселения от 26.12.2023г. №22 изложить в новой редакции 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«Объем межбюджетных трансфертов» получаемых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на 2024 год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1) из областного бюджета в сумме 28 506 199,64 руб.»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4.Проектом решения предлагается приложение №3 «Источники внутреннего финансирования дефицита бюджета Лухского городского поселения на 2024</w:t>
      </w:r>
      <w:r>
        <w:rPr>
          <w:rFonts w:eastAsia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год и плановый период 2025 и 2026 годов» изложить в новой редакции, согласно которому вносятся следующие изменения:</w:t>
      </w:r>
    </w:p>
    <w:tbl>
      <w:tblPr>
        <w:tblStyle w:val="af2"/>
        <w:tblW w:w="9721" w:type="dxa"/>
        <w:jc w:val="left"/>
        <w:tblInd w:w="-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1334"/>
        <w:gridCol w:w="1382"/>
        <w:gridCol w:w="1455"/>
        <w:gridCol w:w="1470"/>
        <w:gridCol w:w="1018"/>
        <w:gridCol w:w="901"/>
      </w:tblGrid>
      <w:tr>
        <w:trPr>
          <w:trHeight w:val="255" w:hRule="atLeast"/>
        </w:trPr>
        <w:tc>
          <w:tcPr>
            <w:tcW w:w="216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17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Изменения, предлагаемые проектом решения, руб.</w:t>
            </w:r>
          </w:p>
        </w:tc>
        <w:tc>
          <w:tcPr>
            <w:tcW w:w="338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Сумма изменений, руб.</w:t>
            </w:r>
          </w:p>
        </w:tc>
      </w:tr>
      <w:tr>
        <w:trPr>
          <w:trHeight w:val="390" w:hRule="atLeast"/>
        </w:trPr>
        <w:tc>
          <w:tcPr>
            <w:tcW w:w="216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</w:tr>
      <w:tr>
        <w:trPr>
          <w:trHeight w:val="390" w:hRule="atLeast"/>
        </w:trPr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1 640 406,09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1 640 406,09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1 640 406,09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1 640 406,09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42 405 047,64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- 21 204 478,28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- 22 028 550,42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14 769 204,69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1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44 045 453,73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21 204 478,28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22 028 550,42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16 409 610,78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Указанные изменения соответствуют предлагаемым показателям основных характеристик, отражаемых в пункте 1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5.Проектом решения предлагается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>
        <w:rPr>
          <w:rFonts w:eastAsia="Times New Roman" w:ascii="Times New Roman" w:hAnsi="Times New Roman"/>
          <w:sz w:val="28"/>
          <w:szCs w:val="28"/>
        </w:rPr>
        <w:t xml:space="preserve">Совета Лухского городского поселения от 26.12.2023г. №22 изложить в новой редакции, согласно которому общий объем расходов увеличен на 16 409 610,78 руб. и составит </w:t>
      </w:r>
      <w:r>
        <w:rPr>
          <w:rFonts w:eastAsia="Times New Roman" w:ascii="Times New Roman" w:hAnsi="Times New Roman"/>
          <w:bCs/>
          <w:sz w:val="28"/>
          <w:szCs w:val="28"/>
        </w:rPr>
        <w:t>44 045 453,73</w:t>
      </w:r>
      <w:r>
        <w:rPr>
          <w:rFonts w:eastAsia="Times New Roman" w:ascii="Times New Roman" w:hAnsi="Times New Roman"/>
          <w:sz w:val="28"/>
          <w:szCs w:val="28"/>
        </w:rPr>
        <w:t>руб.   Анализ предлагаемых изменений приведен в Приложении №2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</w:t>
      </w:r>
      <w:r>
        <w:rPr>
          <w:rFonts w:eastAsia="Times New Roman" w:ascii="Times New Roman" w:hAnsi="Times New Roman"/>
          <w:sz w:val="28"/>
          <w:szCs w:val="28"/>
        </w:rPr>
        <w:t xml:space="preserve">Проектом решения предлагается приложение № 6 «Ведомственная структура расходов бюджета Лухского городского поселения на 2024 год» </w:t>
      </w:r>
      <w:r>
        <w:rPr>
          <w:rFonts w:cs="Times New Roman" w:ascii="Times New Roman" w:hAnsi="Times New Roman"/>
          <w:sz w:val="28"/>
          <w:szCs w:val="28"/>
        </w:rPr>
        <w:t xml:space="preserve">к решению </w:t>
      </w:r>
      <w:r>
        <w:rPr>
          <w:rFonts w:eastAsia="Times New Roman" w:ascii="Times New Roman" w:hAnsi="Times New Roman"/>
          <w:sz w:val="28"/>
          <w:szCs w:val="28"/>
        </w:rPr>
        <w:t xml:space="preserve">Совета Лухского городского поселения от 26.12.2023г. №22 изложить в новой редакции, согласно которому общий объем расходов бюджета на 2024 год увеличится на 16 409 610,78 руб.  и составит </w:t>
      </w:r>
      <w:r>
        <w:rPr>
          <w:rFonts w:eastAsia="Times New Roman" w:ascii="Times New Roman" w:hAnsi="Times New Roman"/>
          <w:bCs/>
          <w:sz w:val="28"/>
          <w:szCs w:val="28"/>
        </w:rPr>
        <w:t>44 045 453,73</w:t>
      </w:r>
      <w:r>
        <w:rPr>
          <w:rFonts w:eastAsia="Times New Roman" w:ascii="Times New Roman" w:hAnsi="Times New Roman"/>
          <w:sz w:val="28"/>
          <w:szCs w:val="28"/>
        </w:rPr>
        <w:t xml:space="preserve"> руб. Анализ предлагаемых изменений приведен в Приложении № 3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7.  Проектом решения предлагается статью 8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b/>
          <w:sz w:val="28"/>
          <w:szCs w:val="28"/>
        </w:rPr>
        <w:t>Статья 8. Предоставление муниципальных гарантий Лухского городского поселения в валюте Российской Федерации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1.Установить, что в 2024 году и плановом периоде 2025 и 2026 годов муниципальные гарантии Лухского городского поселения не предоставляются.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Общий объем бюджетных ассигнований на исполнение муниципальных гарантий Лухского городского поселения по возможным гарантийным случаям: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на 2024 год в сумме 0,00 руб.;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на 2025 год в сумме 0,00 руб.;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на 2026 год в сумме 0,00 руб.».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8.</w:t>
      </w:r>
      <w:r>
        <w:rPr>
          <w:rFonts w:eastAsia="Times New Roman" w:ascii="Times New Roman" w:hAnsi="Times New Roman"/>
          <w:sz w:val="28"/>
          <w:szCs w:val="28"/>
        </w:rPr>
        <w:t xml:space="preserve"> Проектом решения предлагается пункт 5 статьи 5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«5. Утвердить объем бюджетных ассигнований дорожного фонда Лухского городского поселения: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1)на 2024 год в сумме 21 080 462,36 руб.;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2)на 2025 год в сумме 5 801 296,54 руб.;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3)на 2026 год в сумме 6 547 086,18 руб.»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 выводы: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1.Изменения в параметры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2. Проектом решения предлагается утвердить изменения показателей основных характеристик бюджета на 2024 год, а именно: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14 769 204,69 руб. и составит 42 405 047,64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16 409 610,78 руб. и составит 44 045 453,73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дефицита  бюджета увеличится на 1 640 406,09 руб. и составит 1 640 406,09 руб.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color w:val="C9211E"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3. Проектом решения  вносятся изменения в пять  муниципальных программ: «Обеспечение безопасности граждан в Лухском городском поселении», </w:t>
      </w:r>
      <w:r>
        <w:rPr>
          <w:rFonts w:eastAsia="Arial Unicode MS" w:ascii="Times New Roman" w:hAnsi="Times New Roman"/>
          <w:kern w:val="2"/>
          <w:sz w:val="28"/>
          <w:szCs w:val="28"/>
          <w:lang w:eastAsia="en-US"/>
        </w:rPr>
        <w:t>«Содержание и ремонт  автомобильных дорог,  инженерных сооружений на них, в границах Лухского городского поселения»</w:t>
      </w:r>
      <w:r>
        <w:rPr>
          <w:rFonts w:eastAsia="Arial Unicode MS" w:cs="Times New Roman" w:ascii="Times New Roman" w:hAnsi="Times New Roman"/>
          <w:kern w:val="2"/>
          <w:sz w:val="28"/>
          <w:szCs w:val="28"/>
        </w:rPr>
        <w:t xml:space="preserve">, «Развитие жилищно-коммунального хозяйства Лухского городского поселения», </w:t>
      </w:r>
      <w:r>
        <w:rPr>
          <w:rFonts w:eastAsia="Arial Unicode MS" w:ascii="Times New Roman" w:hAnsi="Times New Roman"/>
          <w:kern w:val="2"/>
          <w:sz w:val="28"/>
          <w:szCs w:val="28"/>
          <w:lang w:eastAsia="en-US"/>
        </w:rPr>
        <w:t>«Культура Лухского городского поселения», «Формирование современной городской среды Лухского городского поселения»</w:t>
      </w:r>
      <w:r>
        <w:rPr>
          <w:rFonts w:eastAsia="Arial Unicode MS" w:cs="Times New Roman" w:ascii="Times New Roman" w:hAnsi="Times New Roman"/>
          <w:kern w:val="2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Председатель Контрольно-счетного органа</w:t>
      </w:r>
    </w:p>
    <w:p>
      <w:pPr>
        <w:sectPr>
          <w:footerReference w:type="default" r:id="rId3"/>
          <w:type w:val="nextPage"/>
          <w:pgSz w:w="11906" w:h="16838"/>
          <w:pgMar w:left="1417" w:right="850" w:gutter="0" w:header="0" w:top="850" w:footer="0" w:bottom="62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  <w:t>Приложение №1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  <w:t>к заключению от 26.02..2024г. № 5</w:t>
      </w:r>
    </w:p>
    <w:tbl>
      <w:tblPr>
        <w:tblStyle w:val="af2"/>
        <w:tblW w:w="15075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"/>
        <w:gridCol w:w="2330"/>
        <w:gridCol w:w="1137"/>
        <w:gridCol w:w="1303"/>
        <w:gridCol w:w="1298"/>
        <w:gridCol w:w="1186"/>
        <w:gridCol w:w="1328"/>
        <w:gridCol w:w="1048"/>
        <w:gridCol w:w="1263"/>
        <w:gridCol w:w="1559"/>
        <w:gridCol w:w="1147"/>
      </w:tblGrid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Код бюджетной классификации доходов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Наименование доходов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2024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2025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2026год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ние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000 1 00 00000 00 0000 000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НАЛОГОВЫЕ И НЕНАЛОГОВЫЕ ДОХОДЫ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182 1 01 00000 00 0000 000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прибыль, доходы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182 1 03 00000 00 0000 000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182  1 05 00000 00 0000 000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совокупный доход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182 1 06 00000 00 0000 000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Налоги на имущество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000  1 11 00000 00 0000 000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000 1 13 00000 00 0000 000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доходы от оказания платных услуг (работ)и компенсация затрат государства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000 1 14 00000 00 0000 000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000 1 17 00000 00 0000 000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неналоговые доходы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2 00 00000 00 0000 000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БЕЗВОЗМЕЗДНЫЕ ПОСТУПЛЕНИЯ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13 736 994,95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28 506 199,64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+14 769 204,69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8 129 702,42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8 129 702,42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2 02 00000 00 0000 000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13 736 994,95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28 506 199,64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+14 769 204,69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8 129 702,42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8 129 702,42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74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28520215001130000150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285 2 02 15002 13 0000150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поддержку мер по обеспечению сбаланси-рованности бюджетов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775 594,67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775 594,67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3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285 2 02 20216 1 30000150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осуществление дорожной деятельности в отноше-нии автомобильных дорог общего пользования, а также капитального ремонта и ремонта дворовых территорий много-квартирных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285 2 02 20041 13 0000 150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строительство, модернизацию, ремонт и содержание автомо-бильных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7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285 2 02 35120 13 0000 150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полномо-чий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285 2 02 29999 13 0000 150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субсидии бюджетам городских поселений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5 000 000,00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6 000 000,00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+1 000 000,00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285 2 02 40014 13 0000 150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285 2 02 25555 13 0000 150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285 2 02 25467 13 0000 150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обеспечение развития 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+700 000,00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285 2 02 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en-US" w:eastAsia="en-US" w:bidi="ar-SA"/>
              </w:rPr>
              <w:t>45784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 13 0000150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+13 069 204,69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285 2 02 49999 13 0000150</w:t>
            </w:r>
          </w:p>
        </w:tc>
        <w:tc>
          <w:tcPr>
            <w:tcW w:w="233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0,00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35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285 2 02 35118 13 0000150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городских округов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000 2 07 00000 00 0000 000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безвозмездные поступления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8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Всего доходов: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27 635 842,95</w:t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42 405 047,64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+14 769 204,69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3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0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22 028 550,42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22 028 550,42</w:t>
            </w:r>
          </w:p>
        </w:tc>
        <w:tc>
          <w:tcPr>
            <w:tcW w:w="1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color w:val="000000"/>
          <w:kern w:val="2"/>
          <w:sz w:val="20"/>
          <w:szCs w:val="2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color w:val="000000"/>
          <w:kern w:val="2"/>
          <w:sz w:val="20"/>
          <w:szCs w:val="2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26.02.2024г. №5</w:t>
      </w:r>
    </w:p>
    <w:tbl>
      <w:tblPr>
        <w:tblStyle w:val="af2"/>
        <w:tblW w:w="15506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80"/>
        <w:gridCol w:w="789"/>
        <w:gridCol w:w="631"/>
        <w:gridCol w:w="1304"/>
        <w:gridCol w:w="1245"/>
        <w:gridCol w:w="1306"/>
        <w:gridCol w:w="1186"/>
        <w:gridCol w:w="1529"/>
        <w:gridCol w:w="1250"/>
        <w:gridCol w:w="1161"/>
        <w:gridCol w:w="1358"/>
        <w:gridCol w:w="966"/>
      </w:tblGrid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2025год (руб.)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2026год (руб.)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225 000,00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+75 000,00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225 000,00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+75 000,00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225 000,00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+75 000,00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0210100060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+75 000,00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7 323 404,79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21 080 462,36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+13 757057,57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3154661,21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6 547 086,18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6 547 086,18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7 323 404,79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21 080 462,36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+13 757057,57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3154661,21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6 547 086,18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6 547 086,18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«Реализация 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7 323 404,79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21 080 462,36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+13 757057,57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3154661,21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6 547 086,18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6 547 086,18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6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3 863 457,13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3 863 457,13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3 459 947,66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3 548 749,92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3 548 749,92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трансферты,  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13 757 057,57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13 757057,57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Основное мероприятие «Осуществ-ление полномочий по решению вопросов 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S0510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244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0.00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0400000000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4 216 288,27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4 179 446,16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-36 842,11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4 513 468,7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0410100090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0000.00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0420000000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«Благоустройство территории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3 786 288,27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3 786 288,27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3 882 980,00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3 786 288,27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3 786 288,27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0430100120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0430100130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1 786 288,27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1 786 288,27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170 000,00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133 157,89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-36 842,11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170 000,00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133 157,89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-36 842,11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 xml:space="preserve">40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0440100200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169 4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132 557,89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-36 842,11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0500000000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14 779 399,89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15 828 877,00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+1 049477,11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12 229 909,89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13 279 387,00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+1 049477,11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11 403 157,89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12 452 635,00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+1 049477,11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0510100150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6 140 000,00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6 452 635,00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+312 635,00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4089628,26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4089628,26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0510180340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05101L4670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736 872,11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+736 872,11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05101S1980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30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0510260200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826 752,00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05102S0340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0510280340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05102R5191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2 549 490,00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2 549 490,00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2 376 090,00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2 549 490,00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2 549 490,00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2 549 490,00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2 549 490,00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863 400,00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863 400,00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0.00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0.00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0520180340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05201S0340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05201S1980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0600000000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1" w:name="_GoBack1"/>
            <w:bookmarkEnd w:id="1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2" w:name="_GoBack2"/>
            <w:bookmarkEnd w:id="2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3" w:name="_GoBack3"/>
            <w:bookmarkEnd w:id="3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4" w:name="_GoBack4"/>
            <w:bookmarkEnd w:id="4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0610100180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0700000000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50 0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1 6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14 918,21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+1 564918,21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14 918,21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+1 564918,21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14 918,21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+1 564918,21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92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071F2S5101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564 918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564 918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21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0710100280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 000,00</w:t>
            </w: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 000,00</w:t>
            </w:r>
          </w:p>
        </w:tc>
        <w:tc>
          <w:tcPr>
            <w:tcW w:w="130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12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6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4000000000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780 750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780 750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4090090120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426 50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426 50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4090090130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4090090140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800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4090051200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4090051180</w:t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345 750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,00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Всего расходов:</w:t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27 6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35 842,95</w:t>
            </w:r>
          </w:p>
        </w:tc>
        <w:tc>
          <w:tcPr>
            <w:tcW w:w="1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44 045 453,73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16 409 610,78</w:t>
            </w:r>
          </w:p>
        </w:tc>
        <w:tc>
          <w:tcPr>
            <w:tcW w:w="118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2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6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21 116 458,02</w:t>
            </w:r>
          </w:p>
        </w:tc>
        <w:tc>
          <w:tcPr>
            <w:tcW w:w="13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21 116 458,02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color w:val="FF0000"/>
          <w:kern w:val="2"/>
          <w:sz w:val="20"/>
          <w:szCs w:val="20"/>
        </w:rPr>
      </w:pPr>
      <w:r>
        <w:rPr>
          <w:rFonts w:eastAsia="Arial Unicode MS" w:ascii="Times New Roman" w:hAnsi="Times New Roman"/>
          <w:color w:val="FF0000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color w:val="00000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color w:val="000000"/>
        </w:rPr>
      </w:pPr>
      <w:r>
        <w:rPr>
          <w:rFonts w:eastAsia="Arial Unicode MS" w:ascii="Times New Roman" w:hAnsi="Times New Roman"/>
          <w:color w:val="000000"/>
          <w:kern w:val="2"/>
          <w:sz w:val="20"/>
          <w:szCs w:val="20"/>
        </w:rPr>
        <w:t>к заключению от 26.02.2024г. №5</w:t>
      </w:r>
    </w:p>
    <w:tbl>
      <w:tblPr>
        <w:tblStyle w:val="af2"/>
        <w:tblW w:w="15885" w:type="dxa"/>
        <w:jc w:val="left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79"/>
        <w:gridCol w:w="678"/>
        <w:gridCol w:w="523"/>
        <w:gridCol w:w="680"/>
        <w:gridCol w:w="851"/>
        <w:gridCol w:w="729"/>
        <w:gridCol w:w="1298"/>
        <w:gridCol w:w="1196"/>
        <w:gridCol w:w="1244"/>
        <w:gridCol w:w="1142"/>
        <w:gridCol w:w="1239"/>
        <w:gridCol w:w="1198"/>
        <w:gridCol w:w="1182"/>
        <w:gridCol w:w="1199"/>
        <w:gridCol w:w="747"/>
      </w:tblGrid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Код ГРБС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Раздел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Подраздел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 год (руб.)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285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1 126 752,00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1 111 752,00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-15 000,00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781800,00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1 781800,00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285 000,00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-15 000,00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400 000,00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0510200000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0510260200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826 752,00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S0340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0510280340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05102R5191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287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26 509 090,95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42 933 701,73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+16 424 610,78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19 334 658,02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19 334 658,02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435 000,00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450 000,00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+15 000,00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4090051200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+15 000,00</w:t>
            </w:r>
          </w:p>
        </w:tc>
        <w:tc>
          <w:tcPr>
            <w:tcW w:w="114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4090090120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426 500,00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426 500,00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6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4090090140</w:t>
            </w: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23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9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04401S3020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оборона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345 750,000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345 750,00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4090051180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345 750,000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345 750,00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225 000,00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+75 000,00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0210100060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0210100070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+75 000,00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7 323 404,79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21 080 462,36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+13 757 057,57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6 547 086,18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6 547 086,18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0310100080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3 863 457,13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3 863 457,13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0310180510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03101S0510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0310186500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трансферты,  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13 757 057,57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+13 757 057,57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0310200270</w:t>
            </w: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03102S0510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4 266 288,27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5 794 364,37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+1 528 076,10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Жилищное хозяйство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430 000,00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393 157,89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-36 842,11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0410100090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260 00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0440100200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133 157,89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-36 842,11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Благоустройство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3 836 288,27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5 401 206,48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+1 564 918,21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0430100120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0430100130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0430100140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1 786 288,27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1 786 288,27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07101L5550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07101R5550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F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255550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071F285100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071F2S5101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1 564 918,21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+1 564 918,21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0710100280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542100,00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542100,00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542100,00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542100,00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13 952 647,89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15 002 125,00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+1 049 477,11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0510100150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6 140 000,00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6 452 635,00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+312 635,00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05101S0340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0510180340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05101R5582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0510181980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05001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4670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,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+736 842,11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05101S1980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2 549 490,00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2 549 490,00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2 549 490,00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2 549 490,00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Социальная политика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0610100180</w:t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Всего:</w:t>
            </w:r>
          </w:p>
        </w:tc>
        <w:tc>
          <w:tcPr>
            <w:tcW w:w="6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6"/>
                <w:szCs w:val="16"/>
                <w:lang w:val="ru-RU" w:eastAsia="en-US" w:bidi="ar-SA"/>
              </w:rPr>
              <w:t>27 635 842,95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44 045 453,73</w:t>
            </w:r>
          </w:p>
        </w:tc>
        <w:tc>
          <w:tcPr>
            <w:tcW w:w="124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+16 409 610,78</w:t>
            </w:r>
          </w:p>
        </w:tc>
        <w:tc>
          <w:tcPr>
            <w:tcW w:w="11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20 766 047,08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20 766 047,08</w:t>
            </w:r>
          </w:p>
        </w:tc>
        <w:tc>
          <w:tcPr>
            <w:tcW w:w="119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8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21 116 458,02</w:t>
            </w:r>
          </w:p>
        </w:tc>
        <w:tc>
          <w:tcPr>
            <w:tcW w:w="119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21 116 458,02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00"/>
        <w:rPr>
          <w:color w:val="000000"/>
        </w:rPr>
      </w:pPr>
      <w:r>
        <w:rPr/>
      </w:r>
    </w:p>
    <w:sectPr>
      <w:footerReference w:type="default" r:id="rId4"/>
      <w:type w:val="nextPage"/>
      <w:pgSz w:orient="landscape" w:w="16838" w:h="11906"/>
      <w:pgMar w:left="1134" w:right="1134" w:gutter="0" w:header="0" w:top="1418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Общ"/>
        <w:docPartUnique w:val="true"/>
      </w:docPartObj>
      <w:id w:val="176931940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4c7ac2"/>
    <w:rPr>
      <w:rFonts w:eastAsia="Calibri" w:eastAsiaTheme="minorHAns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rsid w:val="00737427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b12195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b12195"/>
    <w:rPr/>
  </w:style>
  <w:style w:type="paragraph" w:styleId="Style18" w:customStyle="1">
    <w:name w:val="Заголовок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7266f"/>
    <w:pPr>
      <w:spacing w:before="0" w:after="140"/>
    </w:pPr>
    <w:rPr/>
  </w:style>
  <w:style w:type="paragraph" w:styleId="Style20">
    <w:name w:val="List"/>
    <w:basedOn w:val="Style19"/>
    <w:rsid w:val="00c7266f"/>
    <w:pPr/>
    <w:rPr>
      <w:rFonts w:cs="Arial"/>
    </w:rPr>
  </w:style>
  <w:style w:type="paragraph" w:styleId="Style21" w:customStyle="1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c7266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Колонтитул"/>
    <w:basedOn w:val="Normal"/>
    <w:qFormat/>
    <w:rsid w:val="00c7266f"/>
    <w:pPr/>
    <w:rPr/>
  </w:style>
  <w:style w:type="paragraph" w:styleId="Style25">
    <w:name w:val="Footer"/>
    <w:basedOn w:val="Normal"/>
    <w:link w:val="1"/>
    <w:uiPriority w:val="99"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7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03"/>
    <w:pPr>
      <w:spacing w:before="0" w:after="200"/>
      <w:ind w:left="720" w:hanging="0"/>
      <w:contextualSpacing/>
    </w:pPr>
    <w:rPr/>
  </w:style>
  <w:style w:type="paragraph" w:styleId="Style26" w:customStyle="1">
    <w:name w:val="Содержимое таблицы"/>
    <w:basedOn w:val="Normal"/>
    <w:qFormat/>
    <w:rsid w:val="00c7266f"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rsid w:val="00c7266f"/>
    <w:pPr>
      <w:jc w:val="center"/>
    </w:pPr>
    <w:rPr>
      <w:b/>
      <w:bCs/>
    </w:rPr>
  </w:style>
  <w:style w:type="paragraph" w:styleId="NoSpacing">
    <w:name w:val="No Spacing"/>
    <w:link w:val="Style16"/>
    <w:uiPriority w:val="1"/>
    <w:qFormat/>
    <w:rsid w:val="007374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8">
    <w:name w:val="Header"/>
    <w:basedOn w:val="Normal"/>
    <w:link w:val="Style17"/>
    <w:uiPriority w:val="99"/>
    <w:semiHidden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f7c46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4F7E-0209-4766-9CE5-7372EDD2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LibreOffice/7.3.4.2$Windows_X86_64 LibreOffice_project/728fec16bd5f605073805c3c9e7c4212a0120dc5</Application>
  <AppVersion>15.0000</AppVersion>
  <Pages>59</Pages>
  <Words>7171</Words>
  <Characters>44984</Characters>
  <CharactersWithSpaces>50510</CharactersWithSpaces>
  <Paragraphs>2079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2024-02-25T21:29:00Z</dcterms:created>
  <dc:creator>dell</dc:creator>
  <dc:description/>
  <dc:language>ru-RU</dc:language>
  <cp:lastModifiedBy>Смирнова</cp:lastModifiedBy>
  <dcterms:modified xsi:type="dcterms:W3CDTF">2024-02-27T11:37:00Z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