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/>
      </w:pPr>
      <w:r>
        <w:rPr/>
        <w:drawing>
          <wp:inline distT="0" distB="0" distL="0" distR="0">
            <wp:extent cx="581025" cy="73279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27" r="-3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КОНТРОЛЬНО-СЧЕТНЫЙ ОРГАН </w:t>
      </w:r>
    </w:p>
    <w:p>
      <w:pPr>
        <w:pStyle w:val="Normal"/>
        <w:spacing w:before="0" w:after="20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ЛУХСКОГО МУНИЦИПАЛЬНОГО РАЙОНА</w:t>
      </w:r>
    </w:p>
    <w:p>
      <w:pPr>
        <w:pStyle w:val="Normal"/>
        <w:spacing w:before="0" w:after="20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ИВАНОВСКОЙ ОБЛАСТИ</w:t>
      </w:r>
    </w:p>
    <w:p>
      <w:pPr>
        <w:pStyle w:val="Normal"/>
        <w:spacing w:before="0" w:after="20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</w:rPr>
        <w:t xml:space="preserve">155270, Ивановская область, п.Лух, ул.Октябрьская,д.4., тел. 8(49344) 2-12-61   </w:t>
      </w:r>
    </w:p>
    <w:p>
      <w:pPr>
        <w:pStyle w:val="Normal"/>
        <w:spacing w:before="0" w:after="200"/>
        <w:contextualSpacing/>
        <w:jc w:val="center"/>
        <w:rPr>
          <w:color w:val="000000"/>
        </w:rPr>
      </w:pPr>
      <w:r>
        <w:rPr>
          <w:color w:val="000000"/>
          <w:lang w:val="en-US"/>
        </w:rPr>
        <w:t xml:space="preserve">E-mail:  luhkso@yandex.ru       </w:t>
      </w:r>
    </w:p>
    <w:p>
      <w:pPr>
        <w:pStyle w:val="Normal"/>
        <w:spacing w:before="0" w:after="200"/>
        <w:contextualSpacing/>
        <w:jc w:val="center"/>
        <w:rPr>
          <w:b/>
          <w:b/>
          <w:color w:val="000000"/>
          <w:lang w:val="en-US"/>
        </w:rPr>
      </w:pPr>
      <w:r>
        <w:rPr>
          <w:b/>
          <w:color w:val="000000"/>
          <w:lang w:val="en-US"/>
        </w:rPr>
      </w:r>
    </w:p>
    <w:p>
      <w:pPr>
        <w:pStyle w:val="Normal"/>
        <w:spacing w:before="0" w:after="20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                                                           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27.11.</w:t>
      </w:r>
      <w:r>
        <w:rPr>
          <w:b/>
          <w:color w:val="000000"/>
          <w:sz w:val="28"/>
          <w:szCs w:val="28"/>
          <w:lang w:val="en-US"/>
        </w:rPr>
        <w:t xml:space="preserve">2023 </w:t>
      </w:r>
      <w:r>
        <w:rPr>
          <w:b/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  <w:lang w:val="en-US"/>
        </w:rPr>
        <w:t xml:space="preserve">                                                                          </w:t>
      </w:r>
    </w:p>
    <w:p>
      <w:pPr>
        <w:pStyle w:val="Normal"/>
        <w:spacing w:before="0" w:after="200"/>
        <w:contextualSpacing/>
        <w:jc w:val="center"/>
        <w:rPr>
          <w:b/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ЗАКЛЮЧЕНИЕ № </w:t>
      </w:r>
      <w:r>
        <w:rPr>
          <w:b/>
          <w:color w:val="000000"/>
          <w:sz w:val="32"/>
          <w:szCs w:val="32"/>
        </w:rPr>
        <w:t>69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КОНТРОЛЬНО-СЧЕТНОГО ОРГАНА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Лухского муниципального района по проведению экспертно-аналитического мероприятия «Экспертиза проекта решения Совета Рябовского  сельского поселения «О бюджете  Рябовского  сельского поселения на 2024 год и плановый период 2025- 2026 годов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Общие положения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Настоящее заключение подготовлено </w:t>
      </w:r>
      <w:r>
        <w:rPr>
          <w:color w:val="000000"/>
          <w:sz w:val="28"/>
          <w:szCs w:val="28"/>
        </w:rPr>
        <w:t>Контрольн</w:t>
      </w:r>
      <w:r>
        <w:rPr>
          <w:color w:val="000000"/>
          <w:sz w:val="28"/>
          <w:szCs w:val="28"/>
        </w:rPr>
        <w:t>о-счетным органом Лухского муниципального района на проект решения Совета Рябовского сельского поселения «О бюджете Рябовского сельского поселения на 2024год и плановый период 2025 и 2026 годов» (далее – проект решения о бюджете) в соответствии с Бюджетным кодексом Российской Федерации (далее - БК РФ), Уставом   Рябовского сельского поселения, Решением Совета Рябовского сельского поселения от 27.12.2013г.  № 40 «О  бюджетном процессе  Рябовского сельского поселения» в актуальной редакции.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Совета  Рябовского сельского поселения от 30.12.2014г. № 30  о передаче части полномочий по осуществлению внешнего финансового контроля, Соглашением между Советом Рябовского сельского поселения, Советом Лухского муниципального района и Контрольно-счетным органом Лухского муниципального района «</w:t>
      </w:r>
      <w:r>
        <w:rPr>
          <w:rFonts w:cs="Times New Roman"/>
          <w:b w:val="false"/>
          <w:color w:val="000000"/>
          <w:sz w:val="28"/>
          <w:szCs w:val="28"/>
        </w:rPr>
        <w:t>О передаче   Контрольно-счетному органу Лухского муниципального района полномочий Контрольно-счетн</w:t>
      </w:r>
      <w:r>
        <w:rPr>
          <w:rFonts w:cs="Times New Roman"/>
          <w:b w:val="false"/>
          <w:color w:val="000000"/>
          <w:sz w:val="28"/>
          <w:szCs w:val="28"/>
          <w:lang w:val="ru-RU"/>
        </w:rPr>
        <w:t>ых</w:t>
      </w:r>
      <w:r>
        <w:rPr>
          <w:rFonts w:cs="Times New Roman"/>
          <w:b w:val="false"/>
          <w:color w:val="000000"/>
          <w:sz w:val="28"/>
          <w:szCs w:val="28"/>
        </w:rPr>
        <w:t xml:space="preserve"> комиссий  поселений по осуществлению внешнего финансового контроля</w:t>
      </w:r>
      <w:r>
        <w:rPr>
          <w:color w:val="000000"/>
          <w:sz w:val="28"/>
          <w:szCs w:val="28"/>
        </w:rPr>
        <w:t>» от 28.02.2023г. №2.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Предмет экспертно-аналитического мероприятия:</w:t>
      </w:r>
      <w:r>
        <w:rPr>
          <w:color w:val="000000"/>
          <w:sz w:val="28"/>
          <w:szCs w:val="28"/>
        </w:rPr>
        <w:t xml:space="preserve"> проект решения Совета Рябовского сельского поселения «О бюджете  Рябовского сельского поселения на 2024 год и плановый период 2025 и 2026 годов» (к первому чтению) с приложениями, а также документы и материалы, предоставленные одновременно с ним.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Цель экспертно-аналитического мероприятия:</w:t>
      </w:r>
      <w:r>
        <w:rPr>
          <w:color w:val="000000"/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Рябовского сельского поселения.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Объекты экспертно-аналитического мероприятия: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Администрация Рябовского сельского поселения, как орган, уполномоченный на составление проекта бюджета Рябовского сельского поселения, а также на внесение его с необходимыми документами на рассмотрение Совета Рябовского сельского поселения;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Совет Рябовского сельского поселения, как орган, уполномоченный на рассмотрение и принятие проекта бюджета Рябовского сельского поселения.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Срок проведения экспертно-аналитического мероприятия: </w:t>
      </w:r>
      <w:r>
        <w:rPr>
          <w:color w:val="000000"/>
          <w:sz w:val="28"/>
          <w:szCs w:val="28"/>
        </w:rPr>
        <w:t>с 16.11.2023г. по 27.11.2023г.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Руководитель экспертно-аналитического мероприятия:</w:t>
      </w:r>
      <w:r>
        <w:rPr>
          <w:color w:val="000000"/>
          <w:sz w:val="28"/>
          <w:szCs w:val="28"/>
        </w:rPr>
        <w:t xml:space="preserve"> Председатель Контрольно-счетного органа Лухского муниципального района Смирнова Ольга Павловна.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Проект бюджета Рябовского сельского поселения на 2024 год и на плановый период 2025 и 2026 годов к первому чтению представлен в виде проекта решения Совета Рябовского сельского поселения «О бюджете Рябовского сельского поселения на 2024 год и на плановый период 2025 и 2026годов» с приложениями.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п.4 ст.169 БК РФ проект утверждается сроком на три года – очередной финансовый год и плановый период.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подготовке заключения Контрольно-счетный орган учитывал необходимость реализации положений, содержащихся в Бюджетном послании Президента Российской Федерации Федеральному Собранию Российской Федерации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прогнозом социально экономического развития Рябовского сельского поселения на 2024г. и на плановый период 2025 и 2026гг., одобренный постановлением администрации Рябовского сельского</w:t>
      </w:r>
      <w:r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от 14.11.2022г. №71, основными направлениями бюджетной и налоговой политики Рябовского сельского поселения, утвержденными постановлением администрации Рябовского сельского поселения  от 10.11.2023г. № 51 (в соответствии со ст.172 Бюджетного кодекса РФ).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целях совершенствования программно-целевого планирования издано постановление администрации Рябовского сельского поселения от 25.10.2013г. №63 «О переходе к формированию бюджета Рябовского сельского поселения на основе муниципальных программ Рябовского сельского поселения».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Проект бюджета 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2024 года.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Постановлением администрации Рябовского сельского поселения от 05.08.2016г. №75 утвержден порядок составления проекта бюджета Рябовского сельского поселения на очередной финансовый год и плановый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период, в котором определены сроки подготовки документов при разработке проекта решения о бюджете.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Проект бюджета внесен администрацией Рябовского сельского поселения на рассмотрение Совета Рябовского сельского поселения в соответствии с п. 7.2  ст. 7 Положения о бюджетном процессе Рябовского сельского поселения, т.е. в срок до 15.11.2023г. Данный проект направлен в Контрольно-счетный орган Лухского муниципального района для составления заключения о соответствии предоставленных документов и материалов.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Перечень и содержание документов, предоставленных одновременно с проектом решения на 2024г. и плановый период 2025-2026гг. соответствует ст.184.2 БК РФ в действующей редакции.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Заключение Контрольно-счетного органа Лухского муниципального района подготовлено согласно  соглашению о передаче части полномочий по осуществлению внешнего финансового контроля от 28.02.2023 г. №2.</w:t>
      </w:r>
    </w:p>
    <w:p>
      <w:pPr>
        <w:pStyle w:val="Normal"/>
        <w:tabs>
          <w:tab w:val="clear" w:pos="709"/>
          <w:tab w:val="left" w:pos="567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Общая характеристика проекта Решения Совета  Рябовского сельского поселения «О бюджете  Рябовского сельского поселения на 2024 год и плановый период 2025-2026гг.»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Согласно бюджетному законодательству, за сельским поселением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 полномочий.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со ст. 184.1 БК РФ проект содержит следующие основные характеристики:</w:t>
      </w:r>
    </w:p>
    <w:p>
      <w:pPr>
        <w:pStyle w:val="Normal"/>
        <w:tabs>
          <w:tab w:val="clear" w:pos="709"/>
          <w:tab w:val="left" w:pos="567" w:leader="none"/>
        </w:tabs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бщий объем на 2024 год:</w:t>
      </w:r>
    </w:p>
    <w:p>
      <w:pPr>
        <w:pStyle w:val="NoSpacing"/>
        <w:tabs>
          <w:tab w:val="clear" w:pos="709"/>
          <w:tab w:val="left" w:pos="567" w:leader="none"/>
        </w:tabs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доходы, всего 6 294 073,0 руб.</w:t>
      </w:r>
    </w:p>
    <w:p>
      <w:pPr>
        <w:pStyle w:val="NoSpacing"/>
        <w:tabs>
          <w:tab w:val="clear" w:pos="709"/>
          <w:tab w:val="left" w:pos="567" w:leader="none"/>
        </w:tabs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 расходы, всего 6 294 073,0 руб.</w:t>
      </w:r>
    </w:p>
    <w:p>
      <w:pPr>
        <w:pStyle w:val="NoSpacing"/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дефицит (профицит), всего 0,00 тыс. руб.</w:t>
      </w:r>
    </w:p>
    <w:p>
      <w:pPr>
        <w:pStyle w:val="NoSpacing"/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Общий объем на 2025 год: </w:t>
      </w:r>
    </w:p>
    <w:p>
      <w:pPr>
        <w:pStyle w:val="NoSpacing"/>
        <w:tabs>
          <w:tab w:val="clear" w:pos="709"/>
          <w:tab w:val="left" w:pos="567" w:leader="none"/>
        </w:tabs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 доходы, всего 5 366 673,0 руб.</w:t>
      </w:r>
    </w:p>
    <w:p>
      <w:pPr>
        <w:pStyle w:val="NoSpacing"/>
        <w:tabs>
          <w:tab w:val="clear" w:pos="709"/>
          <w:tab w:val="left" w:pos="567" w:leader="none"/>
        </w:tabs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 расходы, всего 5 366 673,0 руб.</w:t>
      </w:r>
    </w:p>
    <w:p>
      <w:pPr>
        <w:pStyle w:val="NoSpacing"/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дефицит (профицит), всего 0,00 тыс. руб.</w:t>
      </w:r>
    </w:p>
    <w:p>
      <w:pPr>
        <w:pStyle w:val="NoSpacing"/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Общий объем на 2026 год: </w:t>
      </w:r>
    </w:p>
    <w:p>
      <w:pPr>
        <w:pStyle w:val="NoSpacing"/>
        <w:tabs>
          <w:tab w:val="clear" w:pos="709"/>
          <w:tab w:val="left" w:pos="567" w:leader="none"/>
        </w:tabs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 доходы, всего 5 239 373,0 руб.</w:t>
      </w:r>
    </w:p>
    <w:p>
      <w:pPr>
        <w:pStyle w:val="NoSpacing"/>
        <w:tabs>
          <w:tab w:val="clear" w:pos="709"/>
          <w:tab w:val="left" w:pos="567" w:leader="none"/>
        </w:tabs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 расходы, всего 5 239 373,0 руб.</w:t>
      </w:r>
    </w:p>
    <w:p>
      <w:pPr>
        <w:pStyle w:val="NoSpacing"/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дефицит (профицит), всего 0,00 тыс. руб.</w:t>
      </w:r>
    </w:p>
    <w:p>
      <w:pPr>
        <w:pStyle w:val="NoSpacing"/>
        <w:ind w:left="0" w:right="0" w:firstLine="567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Проект бюджета Рябовского сельского поселения сформирован без дефицита, что отражает его сбалансированность.</w:t>
      </w:r>
    </w:p>
    <w:p>
      <w:pPr>
        <w:pStyle w:val="NoSpacing"/>
        <w:ind w:left="0" w:right="0" w:firstLine="567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Общая характеристика доходной части бюджета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По данным проекта бюджета сельского поселения на 2024  год общий объем доходов предусмотрен в сумме 6 294 073,0 руб., с учетом безвозмездных поступлений от  других бюджетов бюджетной системы РФ, что на 774 616,77 руб. или  на 11,0 % меньше  ожидаемой оценки 2023г. На  плановый  2025г.   проектом  предусмотрены  доходы   в  сумме 5 366 673,0 руб. и уменьшение к уровню 2024 г. на 927 400,0 руб. или 14,7%, на 2026 г. предусмотрено  5 239 373,0 руб., уменьшение к уровню 2025 года составляет 127 300,0 руб. (2,4%).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Поступление собственных доходов бюджета (ст. 47 БК РФ)  на 2024-2026 год прогнозируется в сумме 185 000,0руб., по сравнению с ожидаемым исполнением за 2023 год сумма поступлений уменьшится на 148 500,0 руб. или на 44,5%.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Безвозмездные поступления из бюджетов разных уровней на 2024 год заложены в проекте бюджета в сумме 6 111 007,0 руб. или на 772 683,0 руб. (11,2%) меньше ожидаемой оценки 2023г. На плановый период 2025года планируются безвозмездные поступления в сумме 5 181 673,0 руб. или уменьшение к 2024 году  на 929 334,0 руб. (15,2%), на 2026 год -  5 054 373,0 руб. и уменьшение к уровню  2025 года на 127 300,0руб.  (2,5%).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Размер дотации на выравнивание уровня бюджетной обеспеченности сельскому поселению  определен на 2024  год в сумме  5 440 200,0 руб.,  на плановый период  2025-2026гг. – 4 508 600,0 руб. и 4 506 100,0 руб. соответственно.  </w:t>
      </w:r>
    </w:p>
    <w:p>
      <w:pPr>
        <w:pStyle w:val="Normal"/>
        <w:ind w:left="0" w:right="0" w:firstLine="567"/>
        <w:jc w:val="both"/>
        <w:rPr>
          <w:color w:val="000000"/>
        </w:rPr>
      </w:pPr>
      <w:bookmarkStart w:id="0" w:name="_GoBack"/>
      <w:r>
        <w:rPr>
          <w:color w:val="000000"/>
          <w:sz w:val="28"/>
          <w:szCs w:val="28"/>
        </w:rPr>
        <w:t xml:space="preserve">Динамика всех уровней доходов местного бюджета представлена в следующей таблице. </w:t>
      </w:r>
      <w:bookmarkEnd w:id="0"/>
    </w:p>
    <w:p>
      <w:pPr>
        <w:pStyle w:val="Normal"/>
        <w:ind w:left="0" w:righ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6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89"/>
        <w:gridCol w:w="993"/>
        <w:gridCol w:w="993"/>
        <w:gridCol w:w="994"/>
        <w:gridCol w:w="994"/>
        <w:gridCol w:w="992"/>
        <w:gridCol w:w="993"/>
        <w:gridCol w:w="709"/>
        <w:gridCol w:w="705"/>
        <w:gridCol w:w="728"/>
      </w:tblGrid>
      <w:tr>
        <w:trPr>
          <w:trHeight w:val="435" w:hRule="atLeast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Ожид. показ. 2023 г.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Проект  решения на 2024г. и плановый период 2025-2026гг.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% отклонение</w:t>
            </w:r>
          </w:p>
        </w:tc>
      </w:tr>
      <w:tr>
        <w:trPr>
          <w:trHeight w:val="310" w:hRule="atLeast"/>
        </w:trPr>
        <w:tc>
          <w:tcPr>
            <w:tcW w:w="1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2025г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Собственные доходы, всего, в т.ч.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>
              <w:rPr>
                <w:color w:val="000000"/>
                <w:sz w:val="20"/>
                <w:szCs w:val="20"/>
                <w:lang w:val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  <w:lang w:val="en-US"/>
              </w:rPr>
              <w:t>,3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-налоговые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  <w:lang w:val="en-US"/>
              </w:rPr>
              <w:t>,3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-неналоговые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Безвозмезд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ные поступления в том числе: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8 917,6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6 109,1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5 181,7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5 054,4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-2 808,5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-927,2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-121,3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-31,5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-2,5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Дотации бюдж. с/п на выравн. бюджет.обесп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ru-RU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5 440,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4 508,6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4 506,1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ru-RU"/>
              </w:rPr>
              <w:t>17,1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  <w:lang w:val="en-US"/>
              </w:rPr>
              <w:t>,05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Дотации бюдж. с/п на поддержку мер по обесп. сбаланс.  бюд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Субвенции бюдж с/п на осущпервич воинского уч на террит, где отсутствуют военные комиссариаты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124,8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 с/п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-77,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6 294,1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5 366,7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5 239,4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-2 827,2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-927,4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-31,0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-14,7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-2,4</w:t>
            </w:r>
          </w:p>
        </w:tc>
      </w:tr>
    </w:tbl>
    <w:p>
      <w:pPr>
        <w:pStyle w:val="Normal"/>
        <w:ind w:left="0" w:right="0" w:firstLine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Налог на доходы физических лиц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Поступление налога на доходы физических лиц в бюджет в 2024-2026 прогнозируется в сумме 37 000,0 руб. ежегодно. Доля налога на доходы физических лиц в структуре прогноза налоговых доходов  в бюджете поселения на 2024-2026 год  составит 20,0 % ежегодно. Прогноз поступления налога на доходы физических лиц рассчитан исходя из показателя прогноза социально-экономического развития по Рябовскому сельскому поселению  и  фонда оплаты труда на 2025-2026 гг. – 12,7 м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лн</w:t>
      </w:r>
      <w:r>
        <w:rPr>
          <w:rFonts w:cs="Times New Roman" w:ascii="Times New Roman" w:hAnsi="Times New Roman"/>
          <w:color w:val="000000"/>
          <w:sz w:val="28"/>
          <w:szCs w:val="28"/>
        </w:rPr>
        <w:t>. рублей ежегодно.</w:t>
      </w:r>
    </w:p>
    <w:p>
      <w:pPr>
        <w:pStyle w:val="NoSpacing"/>
        <w:ind w:left="0" w:right="0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Ожидаемое поступление налога на доходы физических лиц в 2023 году составит 49 000,0 руб.</w:t>
      </w:r>
    </w:p>
    <w:p>
      <w:pPr>
        <w:pStyle w:val="Style22"/>
        <w:ind w:left="0" w:righ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 расчете налога было учтено не стабильное экономическое состояние сельскохозяйственных  предприятий и как следствие этого уменьшение расходов на заработную плату. </w:t>
      </w:r>
    </w:p>
    <w:p>
      <w:pPr>
        <w:pStyle w:val="Style22"/>
        <w:ind w:left="0" w:right="0" w:firstLine="426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Налоги на совокупный доход</w:t>
      </w:r>
    </w:p>
    <w:p>
      <w:pPr>
        <w:pStyle w:val="Style22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Налоги на совокупный доход в структуре прогноза налоговых доходов в бюджете поселения на 2024 год и плановый период 2025 и 2026 годов составит 30,0%.</w:t>
      </w:r>
    </w:p>
    <w:p>
      <w:pPr>
        <w:pStyle w:val="Style22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Указанный налог зачисляется в бюджет поселения по нормативу 30%. Прогноз поступления в 2023 году составит 62 000,0 руб.</w:t>
      </w:r>
    </w:p>
    <w:p>
      <w:pPr>
        <w:pStyle w:val="Normal"/>
        <w:numPr>
          <w:ilvl w:val="0"/>
          <w:numId w:val="0"/>
        </w:numPr>
        <w:ind w:left="0" w:right="0" w:firstLine="426"/>
        <w:jc w:val="center"/>
        <w:outlineLvl w:val="1"/>
        <w:rPr>
          <w:color w:val="000000"/>
        </w:rPr>
      </w:pPr>
      <w:r>
        <w:rPr>
          <w:b/>
          <w:color w:val="000000"/>
          <w:sz w:val="28"/>
          <w:szCs w:val="28"/>
        </w:rPr>
        <w:t>Налоги на имущество</w:t>
      </w:r>
    </w:p>
    <w:p>
      <w:pPr>
        <w:pStyle w:val="NoSpacing"/>
        <w:ind w:left="0" w:right="0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Налоги на имущество в структуре прогноза налоговых доходов бюджета поселения на 2024год составляют 50,0%, наибольшая доля поступлений приходится на земельный налог </w:t>
      </w:r>
      <w:r>
        <w:rPr>
          <w:rFonts w:eastAsia="Symbol" w:cs="Symbol" w:ascii="Symbol" w:hAnsi="Symbol"/>
          <w:color w:val="000000"/>
          <w:sz w:val="28"/>
          <w:szCs w:val="28"/>
        </w:rPr>
        <w:t xml:space="preserve"> </w:t>
      </w:r>
      <w:r>
        <w:rPr>
          <w:rFonts w:cs="Times New Roman" w:ascii="Times New Roman" w:hAnsi="Times New Roman"/>
          <w:color w:val="000000"/>
          <w:sz w:val="28"/>
          <w:szCs w:val="28"/>
        </w:rPr>
        <w:t>94,1 %.</w:t>
      </w:r>
    </w:p>
    <w:p>
      <w:pPr>
        <w:pStyle w:val="Normal"/>
        <w:ind w:left="0" w:righ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Планируемое поступление доходов от налога на имущество физических лиц в 2024 году  составит 92 500,0 руб. Прогноз поступления в 2023 г. составит 93 000,0 руб.</w:t>
      </w:r>
    </w:p>
    <w:p>
      <w:pPr>
        <w:pStyle w:val="Normal"/>
        <w:ind w:left="0" w:righ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Прогноз поступлений налога на имущество физических лиц в плановом периоде  2025–2026 годов составит  92 500,0 руб. ежегодно.</w:t>
      </w:r>
    </w:p>
    <w:p>
      <w:pPr>
        <w:pStyle w:val="Normal"/>
        <w:tabs>
          <w:tab w:val="clear" w:pos="709"/>
          <w:tab w:val="left" w:pos="5000" w:leader="none"/>
        </w:tabs>
        <w:ind w:left="0" w:righ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Прогноз поступления земельного налога на 2024 год составит 87 500,0 руб., ожидаемое поступление в 2023 году – 87 000,0 руб. Прогноз поступлений земельного налога в плановом периоде 2025-2026 годов –        87 500,0 руб.</w:t>
      </w:r>
    </w:p>
    <w:p>
      <w:pPr>
        <w:pStyle w:val="Normal"/>
        <w:ind w:left="0" w:right="0" w:firstLine="426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Неналоговые доходы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Поступление неналоговых доходов бюджета Рябовского сельского поселения в 2024-2026 годах не планируется.</w:t>
      </w:r>
    </w:p>
    <w:p>
      <w:pPr>
        <w:pStyle w:val="Normal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</w:p>
    <w:p>
      <w:pPr>
        <w:pStyle w:val="2"/>
        <w:ind w:left="0" w:right="0" w:hanging="0"/>
        <w:rPr>
          <w:color w:val="000000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из областного бюджета  в виде дотаций, субсидий, субвенций на 2024 год в сумме 6 726,3 тыс.руб., на плановый период 2024- 20245 годов в сумме 5 286,7 тыс.руб. и 5 125,8 тыс.руб. соответственно;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из бюджета муниципального района: иные межбюджетные трансферты – 548 273,0  руб., определенные в соответствии с проектом решения «О районном бюджете на 2023 год и на плановый период 2024 и 2025 годов».   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Объем безвозмездных поступлений в общей сумме доходов бюджета поселения в 2023 году составит 97,3%.</w:t>
      </w:r>
    </w:p>
    <w:p>
      <w:pPr>
        <w:pStyle w:val="2"/>
        <w:ind w:left="0" w:right="0" w:firstLine="567"/>
        <w:rPr>
          <w:color w:val="000000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Данные о безвозмездных поступлениях представлены в таблице:</w:t>
      </w:r>
    </w:p>
    <w:p>
      <w:pPr>
        <w:pStyle w:val="2"/>
        <w:ind w:left="0" w:right="0" w:firstLine="567"/>
        <w:jc w:val="center"/>
        <w:rPr>
          <w:color w:val="000000"/>
        </w:rPr>
      </w:pPr>
      <w:r>
        <w:rPr>
          <w:b/>
          <w:color w:val="000000"/>
          <w:szCs w:val="28"/>
        </w:rPr>
        <w:t>Безвозмездные поступления</w:t>
      </w:r>
    </w:p>
    <w:p>
      <w:pPr>
        <w:pStyle w:val="2"/>
        <w:ind w:left="0" w:right="0" w:firstLine="567"/>
        <w:jc w:val="right"/>
        <w:rPr>
          <w:color w:val="000000"/>
        </w:rPr>
      </w:pPr>
      <w:r>
        <w:rPr>
          <w:color w:val="000000"/>
          <w:szCs w:val="28"/>
        </w:rPr>
        <w:t>(тыс. руб.)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1851"/>
        <w:gridCol w:w="1430"/>
        <w:gridCol w:w="1556"/>
        <w:gridCol w:w="1635"/>
      </w:tblGrid>
      <w:tr>
        <w:trPr>
          <w:trHeight w:val="1510" w:hRule="atLeast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2023год</w:t>
            </w:r>
          </w:p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утверждено решением о бюджете в действующей редакции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2024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2025год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2026год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Безвозмездные поступления – всего: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lang w:val="en-US"/>
              </w:rPr>
              <w:t xml:space="preserve">8 </w:t>
            </w:r>
            <w:r>
              <w:rPr>
                <w:b/>
                <w:color w:val="000000"/>
                <w:sz w:val="20"/>
                <w:lang w:val="ru-RU"/>
              </w:rPr>
              <w:t>769,13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lang w:val="en-US"/>
              </w:rPr>
              <w:t xml:space="preserve">6 </w:t>
            </w:r>
            <w:r>
              <w:rPr>
                <w:b/>
                <w:color w:val="000000"/>
                <w:sz w:val="20"/>
                <w:lang w:val="ru-RU"/>
              </w:rPr>
              <w:t>108,9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5 </w:t>
            </w:r>
            <w:r>
              <w:rPr>
                <w:b/>
                <w:color w:val="000000"/>
                <w:sz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81,7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5 </w:t>
            </w:r>
            <w:r>
              <w:rPr>
                <w:b/>
                <w:color w:val="000000"/>
                <w:sz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lang w:val="ru-RU"/>
              </w:rPr>
              <w:t>54,4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>- дотации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5 909,2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5 440,0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4 508,6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4 506,1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>- субсидии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356,2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>- субвенции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115,4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120,6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124,8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>- иные межбюджетные трансферты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2 388,3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548,3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548,3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548,3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</w:rPr>
        <w:t>Наибольший удельный вес в общем объеме безвозмездных поступлений занимает дотация на выравнивание бюджетной обеспеченности.</w:t>
      </w:r>
    </w:p>
    <w:p>
      <w:pPr>
        <w:pStyle w:val="Normal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Общая характеристика расходной части бюджета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Расходы проекта бюджета  Рябовского сельского поселения  на 2024 год предусмотрены  в целом в сумме  6 294 073,0 руб., на плановый период 2025 - 2026 года – 5 249 333,0 руб. и 5 004 818,0 руб. соответственно.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Структура расходов бюджета  построена на исполнение принятых расходных обязательств  Рябовского сельского поселения. За основу приняты показатели ожидаемого исполнения местного бюджета сельского поселения за 2023 год с учетом уточнений по следующим направлениям: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-оптимизация действующих расходных обязательств и перераспределение ресурсов на  решение приоритетных задач;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-обеспечение достижения значений целевых индикаторов, определенных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-соблюдение программного принципа построения бюджета;</w:t>
      </w:r>
    </w:p>
    <w:p>
      <w:pPr>
        <w:pStyle w:val="NoSpacing"/>
        <w:ind w:left="0" w:righ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-определение «базовых» объемов бюджетных ассигнований на 2024-2026 годы на уровне 2023года.</w:t>
      </w:r>
    </w:p>
    <w:p>
      <w:pPr>
        <w:pStyle w:val="Default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Программная структура расходов бюджета поселения на 2024 год и плановый период 2025и 2026 годов представлена следующим образом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требованиями бюджетного законодательства проект бюджета сформирован в программной структуре расходов на основе муниципальных программ Рябовского сельского поселения.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Перечень муниципальных программ, утвержденный постановлением администрации Рябовского сельского поселения от 21.11.2016г. № 107, содержит 8 муниципальных программ.</w:t>
      </w:r>
    </w:p>
    <w:p>
      <w:pPr>
        <w:pStyle w:val="Normal"/>
        <w:jc w:val="both"/>
        <w:rPr/>
      </w:pPr>
      <w:r>
        <w:rPr>
          <w:rStyle w:val="FontStyle11"/>
          <w:b w:val="false"/>
          <w:color w:val="000000"/>
          <w:sz w:val="28"/>
          <w:szCs w:val="28"/>
        </w:rPr>
        <w:t xml:space="preserve">     </w:t>
      </w:r>
      <w:r>
        <w:rPr>
          <w:rStyle w:val="FontStyle11"/>
          <w:b w:val="false"/>
          <w:color w:val="000000"/>
          <w:sz w:val="28"/>
          <w:szCs w:val="28"/>
        </w:rPr>
        <w:t>В 2024-2026 гг. намечено к реализации 8 муниципальных программ.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Наибольший удельный вес в структуре расходов на 2024 год составляют программные расходы  - 97,8 %, на 2025 год – 96,6%, на 2026 год – 98,9%.      Муниципальными программами не охвачено в 2024г. 2,2 % или 173 600,0  руб. от общих расходов бюджета. На 2025 год -  3,4%, на 2026год – 1,1%. Средства направлены на осуществление деятельности органов местного самоуправления администрации  Рябовского сельского поселения.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Наибольшая доля программных расходов приходится на программу «Культура  Рябовского сельского поселения»  в 2024 г.- 42,4%, в 2025- 37,9%, 2025г.- 36,4%, а также «Эффективная реализация органами местного самоуправления полномочий по решению вопросов местного значения» в 2024г. -  39,0%, на плановый период 2025- 33,7%, 2026г.- 31,3% 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Согласно Порядка разработки, реализации и оценки эффективности программ Рябовского сельского поселения, утвержденного постановлением главы администрации Рябовского сельского поселения от 30.10.2013 № 64а, на момент подготовки экспертного заключения по формированию бюджета Рябовского сельского поселения на 2024-2026 гг. в Контрольно-счетный орган представлено 8 паспортов муниципальных программ, финансирование по которым предусмотрено проектом бюджета.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проекте бюджета учтена реализация следующих муниципальных  программ: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Муниципальная программа Рябовского сельского поселения </w:t>
      </w:r>
      <w:r>
        <w:rPr>
          <w:b/>
          <w:color w:val="000000"/>
          <w:sz w:val="28"/>
          <w:szCs w:val="28"/>
        </w:rPr>
        <w:t xml:space="preserve">«Эффективная реализация органами местного самоуправления полномочий по решению вопросов местного значения», </w:t>
      </w:r>
      <w:r>
        <w:rPr>
          <w:color w:val="000000"/>
          <w:sz w:val="28"/>
          <w:szCs w:val="28"/>
        </w:rPr>
        <w:t>утверждена постановлением администрации Рябовского сельского поселения  от 10.11.2017г. № 79, постановлением администрации  от 10.11.2023 г. № 54  в данную программу внесены  изменения, утвердив расходные ассигнования на 2024 г - 2 455 460,0 руб., 2025 - 2026гг. по 2 270 886,0 руб. ежегодно. Проектом бюджета установлен аналогичный объем финансирования программы. Срок реализации программы 2017-2026гг.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Цель программы – совершенствование управления муниципальными финансами.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рамках данной программы имеются 1 специальная подпрограмма: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«Обеспечение деятельности органов местного самоуправления администрации Рябовского сельского поселения»;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 1 аналитическая подпрограмма: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«Обеспечение финансирования непредвиденных расходов». 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программа Рябовского сельского поселения</w:t>
      </w:r>
      <w:r>
        <w:rPr>
          <w:b/>
          <w:color w:val="000000"/>
          <w:sz w:val="28"/>
          <w:szCs w:val="28"/>
        </w:rPr>
        <w:t xml:space="preserve"> «Обеспечение безопасности граждан и правоохранительная деятельность на территории Рябовского сельского поселения» </w:t>
      </w:r>
      <w:r>
        <w:rPr>
          <w:color w:val="000000"/>
          <w:sz w:val="28"/>
          <w:szCs w:val="28"/>
        </w:rPr>
        <w:t>утверждена постановлением администрации Рябовского сельского поселения от 10.11.2017г. №78, постановлением администрации  от  10.11.2023г. № 53  в данную программу внесены  изменения, утвердив расходные ассигнования на 2024-2026 год в сумме 70 000,0 руб., ежегодно. Проектом бюджета установлен аналогичный объем финансирования программы. Срок реализации программы 2017-2026гг.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Целями программы являются: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уменьшение количества пожаров, снижение рисков возникновения и смягчения последствий чрезвычайных ситуаций; снижение числа травмированных и погибших на пожарах; сокращение материальных потерь от пожаров; создание необходимых условий для обеспечения пожарной безопасности, защиты жизни и здоровья граждан и т.д.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Согласно  паспорта данной программы имеется одна подпрограмма: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«</w:t>
      </w:r>
      <w:r>
        <w:rPr>
          <w:color w:val="000000"/>
          <w:sz w:val="28"/>
          <w:szCs w:val="28"/>
          <w:shd w:fill="FFFFFF" w:val="clear"/>
        </w:rPr>
        <w:t>Обеспечение безопасности граждан и правоохранительная деятельность на территории Рябовского сельского поселения</w:t>
      </w:r>
      <w:r>
        <w:rPr>
          <w:color w:val="000000"/>
          <w:sz w:val="28"/>
          <w:szCs w:val="28"/>
        </w:rPr>
        <w:t xml:space="preserve">».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Муниципальная программа Рябовского сельского поселения</w:t>
      </w:r>
      <w:r>
        <w:rPr>
          <w:b/>
          <w:color w:val="000000"/>
          <w:sz w:val="28"/>
          <w:szCs w:val="28"/>
        </w:rPr>
        <w:t xml:space="preserve"> «Национальная экономика. Развитие автомобильных дорог общего пользования местного значения Рябовского сельского поселения Лухского муниципального района» </w:t>
      </w:r>
      <w:r>
        <w:rPr>
          <w:color w:val="000000"/>
          <w:sz w:val="28"/>
          <w:szCs w:val="28"/>
        </w:rPr>
        <w:t>утверждена постановлением администрации Рябовского сельского поселения от 10.11.2017 г. №80, постановлением администрации  от  10.11.2023г. №55  в данную программу внесены  изменения утвердив лимиты бюджетных назначений на 2024-2026 гг. по 465 773,0 руб. ежегодно. Проектом бюджета установлен аналогичный объем финансирования программы. Срок реализации программы 2017-2026гг.</w:t>
      </w:r>
    </w:p>
    <w:p>
      <w:pPr>
        <w:pStyle w:val="Western"/>
        <w:shd w:val="clear" w:fill="FFFFFF"/>
        <w:spacing w:before="58" w:after="5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Целями программы являются:</w:t>
      </w:r>
    </w:p>
    <w:p>
      <w:pPr>
        <w:pStyle w:val="Western"/>
        <w:shd w:val="clear" w:fill="FFFFFF"/>
        <w:spacing w:before="58" w:after="5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содержание дорожной сети, соответствующей потребностям населения; повышение безопасности дорожного движения; сокращение транспортных издержек, а также достижение требуемого технического и эксплуатационного состояния автомобильных дорог общего пользования местного значения, формирование благоприятных условий для стабильного социально-экономического развития Рябовского сельского поселения Лухского муниципального района;</w:t>
      </w:r>
    </w:p>
    <w:p>
      <w:pPr>
        <w:pStyle w:val="Western"/>
        <w:shd w:val="clear" w:fill="FFFFFF"/>
        <w:spacing w:before="58" w:after="5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создание организационно-правовых и экономических условий для обеспечения качественного содержания, текущего ремонта, находящихся в муниципальной собственности.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данной программе имеются две  подпрограммы: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«Иные межбюджетные трансферты»; 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«Межбюджетные трансферты</w:t>
      </w:r>
      <w:r>
        <w:rPr>
          <w:color w:val="000000"/>
          <w:sz w:val="28"/>
          <w:szCs w:val="28"/>
          <w:shd w:fill="FFFFFF" w:val="clear"/>
        </w:rPr>
        <w:t xml:space="preserve"> на проведение отдельных мероприятий по другим видам транспорта</w:t>
      </w:r>
      <w:r>
        <w:rPr>
          <w:color w:val="000000"/>
          <w:sz w:val="28"/>
          <w:szCs w:val="28"/>
        </w:rPr>
        <w:t xml:space="preserve">».  </w:t>
      </w:r>
    </w:p>
    <w:p>
      <w:pPr>
        <w:pStyle w:val="Normal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Муниципальная программа Рябовского сельского поселения</w:t>
      </w:r>
      <w:r>
        <w:rPr>
          <w:b/>
          <w:color w:val="000000"/>
          <w:sz w:val="28"/>
          <w:szCs w:val="28"/>
        </w:rPr>
        <w:t xml:space="preserve"> «Организация мероприятий, направленных на развитие жилищно-коммунального хозяйства и благоустройства Рябовского сельского поселения», </w:t>
      </w:r>
      <w:r>
        <w:rPr>
          <w:color w:val="000000"/>
          <w:sz w:val="28"/>
          <w:szCs w:val="28"/>
        </w:rPr>
        <w:t>программа утверждена постановлением администрации Рябовского сельского поселения  от  10.11.2017 г. № 81, постановлением администрации  от 10.11.2023г. №56  в данную программу внесены  изменения, утвердив расходные ассигнования на 2024 год в сумме 351 123,0 руб., на плановый период 2025-2026гг. – 386 297,0 руб. и 472 589,0 руб. соответственно. Проектом бюджета установлен аналогичный объем финансирования программы. Срок реализации программы 2017-2026 гг.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Цели программы: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повышение эффективности управления и распоряжения муниципальной собственностью сельского поселения, земельными участками, находящимися в муниципальной и государственной собственности;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повышение уровня внешнего благоустройства и санитарного содержания населенных пунктов Рябовского сельского поселения;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совершенствование эстетического вида Рябовского сельского поселения;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повышение общего уровня благоустройства территории сельского поселения для обеспечения максимально благоприятных, комфортных условий для проживания и отдыха населения;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улучшение экологической ситуации на территории Рябовского сельского поселения.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рамках данной программы имеется две подпрограмм: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«Организация водоснабжения населения Рябовского сельского поселения».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«Благоустройство и содержание муниципального имущества Рябовского сельского поселения». </w:t>
      </w:r>
    </w:p>
    <w:p>
      <w:pPr>
        <w:pStyle w:val="Normal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Муниципальная программа Рябовского сельского поселения</w:t>
      </w:r>
      <w:r>
        <w:rPr>
          <w:b/>
          <w:color w:val="000000"/>
          <w:sz w:val="28"/>
          <w:szCs w:val="28"/>
        </w:rPr>
        <w:t xml:space="preserve"> «Культура Рябовского сельского поселения».</w:t>
      </w:r>
      <w:r>
        <w:rPr>
          <w:color w:val="000000"/>
          <w:sz w:val="28"/>
          <w:szCs w:val="28"/>
        </w:rPr>
        <w:t xml:space="preserve">  Программа утверждена постановлением администрации Рябовского сельского поселения от 10.11.2017 г. №82, постановлением администрации  от 10.11.2023г. №57  в данную программу внесены  изменения, утвердив расходные ассигнования на 2024 год в сумме 2 671 117,0 руб., на плановый период 2025г. – 1 771 577,0 руб., 2026г.г. – 1 565 570,0 руб. Проектом бюджета установлен аналогичный объем финансирования. Срок реализации данной программы – 2017-2026гг.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Цель  программы – развитие культуры на территории Рябовского сельского поселения.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данной программе имеется одна  подпрограмма: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«Обеспечение деятельности подведомственных учреждений». 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Муниципальная программа Рябовского сельского поселения</w:t>
      </w:r>
      <w:r>
        <w:rPr>
          <w:b/>
          <w:color w:val="000000"/>
          <w:sz w:val="28"/>
          <w:szCs w:val="28"/>
        </w:rPr>
        <w:t xml:space="preserve"> «Социальная поддержка  граждан Рябовского сельского поселения» </w:t>
      </w:r>
      <w:r>
        <w:rPr>
          <w:color w:val="000000"/>
          <w:sz w:val="28"/>
          <w:szCs w:val="28"/>
        </w:rPr>
        <w:t>утверждена постановлением администрации Рябовского сельского поселения от 10.11.2017 г. № 84 , постановлением администрации  от  10.11.2023г. № 59 в данную программу внесены  изменения, утвердив расходные ассигнования на 2024 год и плановый период 2025-2026гг. – 72 000,0 руб. ежегодно.      Проектом бюджета установлен аналогичный объем финансирования. Срок реализации данной программы – 2019-2026 годы.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Цель программы – снижение социальной напряженности, повышение качества жизни граждан.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данной программе имеются одна аналитическая подпрограмма: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«Пенсионное обеспечение отдельных категорий граждан».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Муниципальная программа Рябовского сельского поселения</w:t>
      </w:r>
      <w:r>
        <w:rPr>
          <w:b/>
          <w:color w:val="000000"/>
          <w:sz w:val="28"/>
          <w:szCs w:val="28"/>
        </w:rPr>
        <w:t xml:space="preserve"> «Развитие сельскохозяйственного производства, малого и среднего предпринимательства Рябовского сельского поселения», </w:t>
      </w:r>
      <w:r>
        <w:rPr>
          <w:color w:val="000000"/>
          <w:sz w:val="28"/>
          <w:szCs w:val="28"/>
        </w:rPr>
        <w:t>утверждена постановлением администрации Рябовского сельского поселения от 10.11.2017 г. № 77. В данную программу постановлением администрации Рябовского сельского поселения от 10.11.2023г. №68 внесены  изменения, утвердив расходные ассигнования на 2024 год  в сумме 20 000,0  руб., на плановый период 2025-2026гг. – по 20 000,0   руб. ежегодно.  Проектом бюджета установлен аналогичный объем финансирования. Программа разработана на  период 2017-2026 гг.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Цель Программы: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обеспечение условий для устойчивого развития личных подсобных хозяйств;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улучшение материального положения жи</w:t>
        <w:softHyphen/>
        <w:t>телей сельской местности;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создание экономических и организационных условий для эффективной деятельности личных подсобных хозяйств и их организаций;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расширение налогооблагаемой базы, создание новых рабочих мест, стабилизация  экономики Рябовского сельского поселения Лухского муниципального района.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Данная программа состоит из двух подпрограмм: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 «Развитие сельскохозяйственного производства, малого и среднего предпринимательства»;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 «Оформление права собственности и использование земельных ресурсов в Рябовском сельском поселении».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Муниципальная программа Рябовского сельского поселения </w:t>
      </w:r>
      <w:r>
        <w:rPr>
          <w:b/>
          <w:color w:val="000000"/>
          <w:sz w:val="28"/>
          <w:szCs w:val="28"/>
        </w:rPr>
        <w:t xml:space="preserve">«Развитие физической культуры, массового спорта и работа с детьми и молодежью» </w:t>
      </w:r>
      <w:r>
        <w:rPr>
          <w:color w:val="000000"/>
          <w:sz w:val="28"/>
          <w:szCs w:val="28"/>
        </w:rPr>
        <w:t>утверждена постановлением администрации Рябовского сельского поселения от 10.11.2017 г. №83. В данную программу постановлением администрации Рябовского сельского поселения от 10.11.2023г. №60 на 2024-2026гг. внесены изменения, утвердив сумму ассигнований на реализацию мероприятия программы на 2024 год и на  плановый период 2025-2026 годы – 15 000,0 руб. ежегодно. Проектом бюджета установлен аналогичный объем финансирования. Срок реализации программы 2017-2026 гг.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Цель программы: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обеспечение доступности физкультурно-спортивных услуг всем слоям и категориям населения на территории Рябовского сельского поселения;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создание условий для укрепления здоровья населения, популяризации массового спорта и приобщения различных слоев общества к регулярным занятиям физической культурой и спортом;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организация досуга детей и молодежи.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программу входит одна подпрограмма: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 «Мероприятия в области физкультуры, спорта и работа с детьми и молодежью».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 итогам распределения бюджетных ассигнований по разделам, подразделам функциональной классификации наибольшая доля выделенных бюджетных ассигнований приходится на раздел 0100 «Общегосударственные вопросы» на 2024 год  доля ассигнований составляет </w:t>
      </w:r>
      <w:r>
        <w:rPr>
          <w:color w:val="000000"/>
          <w:sz w:val="28"/>
          <w:szCs w:val="28"/>
          <w:lang w:val="en-US"/>
        </w:rPr>
        <w:t>39,1</w:t>
      </w:r>
      <w:r>
        <w:rPr>
          <w:color w:val="000000"/>
          <w:sz w:val="28"/>
          <w:szCs w:val="28"/>
        </w:rPr>
        <w:t xml:space="preserve"> ед. от общего объема расходных обязательств, на плановый период 2025г. – 43,3ед., 2026г. – 45,4 ед.,   по сравнению с 2023 годом, согласно оценке ожидаемого исполнения бюджета  (27,0 ед.) .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Далее наибольший удельный вес приходится на раздел 0800 «Культура», его доля на 2024 г. составляет </w:t>
      </w:r>
      <w:r>
        <w:rPr>
          <w:color w:val="000000"/>
          <w:sz w:val="28"/>
          <w:szCs w:val="28"/>
          <w:lang w:val="en-US"/>
        </w:rPr>
        <w:t>42,4</w:t>
      </w:r>
      <w:r>
        <w:rPr>
          <w:color w:val="000000"/>
          <w:sz w:val="28"/>
          <w:szCs w:val="28"/>
        </w:rPr>
        <w:t xml:space="preserve"> ед. от общего объема расходных обязательств, на плановый период  2025 года – </w:t>
      </w:r>
      <w:r>
        <w:rPr>
          <w:color w:val="000000"/>
          <w:sz w:val="28"/>
          <w:szCs w:val="28"/>
          <w:lang w:val="en-US"/>
        </w:rPr>
        <w:t>33,7</w:t>
      </w:r>
      <w:r>
        <w:rPr>
          <w:color w:val="000000"/>
          <w:sz w:val="28"/>
          <w:szCs w:val="28"/>
        </w:rPr>
        <w:t xml:space="preserve"> ед., в 2026гг. – </w:t>
      </w:r>
      <w:r>
        <w:rPr>
          <w:color w:val="000000"/>
          <w:sz w:val="28"/>
          <w:szCs w:val="28"/>
          <w:lang w:val="en-US"/>
        </w:rPr>
        <w:t>31,3</w:t>
      </w:r>
      <w:r>
        <w:rPr>
          <w:color w:val="000000"/>
          <w:sz w:val="28"/>
          <w:szCs w:val="28"/>
        </w:rPr>
        <w:t xml:space="preserve"> ед., по сравнению с 2023 годом  согласно оценке ожидаемого исполнения бюджета (34,4 ед.).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По разделу 0500  «Жилищно-коммунальное хозяйство» в 2023 г. удельный вес от общего объема расходов ожидается 8,4 ед.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 год планируется </w:t>
      </w:r>
      <w:r>
        <w:rPr>
          <w:color w:val="000000"/>
          <w:sz w:val="28"/>
          <w:szCs w:val="28"/>
          <w:lang w:val="en-US"/>
        </w:rPr>
        <w:t>6,4</w:t>
      </w:r>
      <w:r>
        <w:rPr>
          <w:color w:val="000000"/>
          <w:sz w:val="28"/>
          <w:szCs w:val="28"/>
        </w:rPr>
        <w:t xml:space="preserve"> ед., на 202</w:t>
      </w:r>
      <w:r>
        <w:rPr>
          <w:color w:val="000000"/>
          <w:sz w:val="28"/>
          <w:szCs w:val="28"/>
          <w:lang w:val="en-US"/>
        </w:rPr>
        <w:t xml:space="preserve">5 </w:t>
      </w:r>
      <w:r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  <w:lang w:val="en-US"/>
        </w:rPr>
        <w:t>8,3</w:t>
      </w:r>
      <w:r>
        <w:rPr>
          <w:color w:val="000000"/>
          <w:sz w:val="28"/>
          <w:szCs w:val="28"/>
        </w:rPr>
        <w:t xml:space="preserve"> ед., </w:t>
      </w:r>
      <w:r>
        <w:rPr>
          <w:color w:val="000000"/>
          <w:sz w:val="28"/>
          <w:szCs w:val="28"/>
          <w:lang w:val="en-US"/>
        </w:rPr>
        <w:t>2026г</w:t>
      </w:r>
      <w:r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  <w:lang w:val="en-US"/>
        </w:rPr>
        <w:t>10,4</w:t>
      </w:r>
      <w:r>
        <w:rPr>
          <w:color w:val="000000"/>
          <w:sz w:val="28"/>
          <w:szCs w:val="28"/>
        </w:rPr>
        <w:t xml:space="preserve"> ед., по разделу 0400 «Национальная экономика»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г. доля от общего объема расходных обязательств составляет </w:t>
      </w:r>
      <w:r>
        <w:rPr>
          <w:color w:val="000000"/>
          <w:sz w:val="28"/>
          <w:szCs w:val="28"/>
          <w:lang w:val="en-US"/>
        </w:rPr>
        <w:t>7,7</w:t>
      </w:r>
      <w:r>
        <w:rPr>
          <w:color w:val="000000"/>
          <w:sz w:val="28"/>
          <w:szCs w:val="28"/>
        </w:rPr>
        <w:t xml:space="preserve"> ед., на плановый период 202</w:t>
      </w:r>
      <w:r>
        <w:rPr>
          <w:color w:val="000000"/>
          <w:sz w:val="28"/>
          <w:szCs w:val="28"/>
          <w:lang w:val="en-US"/>
        </w:rPr>
        <w:t xml:space="preserve">5 </w:t>
      </w:r>
      <w:r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  <w:lang w:val="en-US"/>
        </w:rPr>
        <w:t>9,3</w:t>
      </w:r>
      <w:r>
        <w:rPr>
          <w:color w:val="000000"/>
          <w:sz w:val="28"/>
          <w:szCs w:val="28"/>
        </w:rPr>
        <w:t xml:space="preserve"> ед., 202</w:t>
      </w:r>
      <w:r>
        <w:rPr>
          <w:color w:val="000000"/>
          <w:sz w:val="28"/>
          <w:szCs w:val="28"/>
          <w:lang w:val="en-US"/>
        </w:rPr>
        <w:t xml:space="preserve">6 </w:t>
      </w:r>
      <w:r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  <w:lang w:val="en-US"/>
        </w:rPr>
        <w:t>9,7</w:t>
      </w:r>
      <w:r>
        <w:rPr>
          <w:color w:val="000000"/>
          <w:sz w:val="28"/>
          <w:szCs w:val="28"/>
        </w:rPr>
        <w:t xml:space="preserve"> ед. в отчетном 202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 году его доля ожидается (</w:t>
      </w:r>
      <w:r>
        <w:rPr>
          <w:color w:val="000000"/>
          <w:sz w:val="28"/>
          <w:szCs w:val="28"/>
          <w:lang w:val="en-US"/>
        </w:rPr>
        <w:t>26,7</w:t>
      </w:r>
      <w:r>
        <w:rPr>
          <w:color w:val="000000"/>
          <w:sz w:val="28"/>
          <w:szCs w:val="28"/>
        </w:rPr>
        <w:t xml:space="preserve"> ед.).</w:t>
      </w:r>
    </w:p>
    <w:p>
      <w:pPr>
        <w:sectPr>
          <w:footerReference w:type="default" r:id="rId3"/>
          <w:type w:val="nextPage"/>
          <w:pgSz w:w="11906" w:h="16838"/>
          <w:pgMar w:left="1701" w:right="850" w:gutter="0" w:header="0" w:top="1134" w:footer="0" w:bottom="708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Анализ бюджетных ассигнований в разрезе функциональной классификации за отчетный период 202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 года в сравнении с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 годом и плановым периодом 202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 xml:space="preserve"> и  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годов  приведен в рисунке № 1:  </w:t>
      </w:r>
    </w:p>
    <w:p>
      <w:pPr>
        <w:sectPr>
          <w:footerReference w:type="default" r:id="rId5"/>
          <w:type w:val="nextPage"/>
          <w:pgSz w:orient="landscape" w:w="16838" w:h="11906"/>
          <w:pgMar w:left="567" w:right="567" w:gutter="0" w:header="0" w:top="851" w:footer="0" w:bottom="709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"/>
        </w:numPr>
        <w:ind w:left="0" w:right="0" w:firstLine="567"/>
        <w:rPr>
          <w:color w:val="000000"/>
        </w:rPr>
      </w:pPr>
      <w:r>
        <w:rPr>
          <w:color w:val="000000"/>
        </w:rPr>
        <w:drawing>
          <wp:inline distT="0" distB="0" distL="0" distR="0">
            <wp:extent cx="9371330" cy="505714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Составление проекта бюджета основывается на социально-экономическом прогнозе  Рябовского сельского поселения (п.3.3. Положения о бюджетном процессе  в Рябовском сельском поселении). 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Проект бюджета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гг. соответствует основным направлениям бюджетной и налоговой политики Рябовского сельского поселения, утвержденными постановлением администрации  Рябовского сельского поселения от </w:t>
      </w:r>
      <w:r>
        <w:rPr>
          <w:color w:val="000000"/>
          <w:sz w:val="28"/>
          <w:szCs w:val="28"/>
          <w:lang w:val="en-US"/>
        </w:rPr>
        <w:t>10.11.2023г</w:t>
      </w:r>
      <w:r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  <w:lang w:val="en-US"/>
        </w:rPr>
        <w:t>52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Дефицит бюджета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Согласно статье 1 проекта бюджета Рябовского сельского поселения   дефицит  бюджета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гг.  не прогнозируется.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>
      <w:pPr>
        <w:pStyle w:val="Normal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Условно утвержденные расходы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Согласно абзацу седьмому пункта 3 статьи 184.1 БК РФ проект решения устанавливает в пункте 1 части 3 статьи 5 общий объем условно утвержденных расходов на 202</w:t>
      </w:r>
      <w:r>
        <w:rPr>
          <w:color w:val="000000"/>
          <w:sz w:val="28"/>
          <w:szCs w:val="28"/>
          <w:lang w:val="en-US"/>
        </w:rPr>
        <w:t xml:space="preserve">5 </w:t>
      </w:r>
      <w:r>
        <w:rPr>
          <w:color w:val="000000"/>
          <w:sz w:val="28"/>
          <w:szCs w:val="28"/>
        </w:rPr>
        <w:t xml:space="preserve">г.  в объеме </w:t>
      </w:r>
      <w:r>
        <w:rPr>
          <w:color w:val="000000"/>
          <w:sz w:val="28"/>
          <w:szCs w:val="28"/>
          <w:lang w:val="en-US"/>
        </w:rPr>
        <w:t>117 340,0</w:t>
      </w:r>
      <w:r>
        <w:rPr>
          <w:color w:val="000000"/>
          <w:sz w:val="28"/>
          <w:szCs w:val="28"/>
        </w:rPr>
        <w:t xml:space="preserve"> руб. ( не менее 2,5% общего объема расходов бюджета без учета расходов бюджета, предусмотренных за счет межбюджетных трансфертов из других бюджетов  бюджетной системы РФ, имеющих целевое назначение), на 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год в объеме </w:t>
      </w:r>
      <w:r>
        <w:rPr>
          <w:color w:val="000000"/>
          <w:sz w:val="28"/>
          <w:szCs w:val="28"/>
          <w:lang w:val="en-US"/>
        </w:rPr>
        <w:t xml:space="preserve">234 555,0 </w:t>
      </w:r>
      <w:r>
        <w:rPr>
          <w:color w:val="000000"/>
          <w:sz w:val="28"/>
          <w:szCs w:val="28"/>
        </w:rPr>
        <w:t>руб. (не менее 5,0%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>
      <w:pPr>
        <w:pStyle w:val="Normal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Резервный фонд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 проекте бюджета Рябовского сельского поселения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  <w:lang w:val="en-US"/>
        </w:rPr>
        <w:t xml:space="preserve">6 </w:t>
      </w:r>
      <w:r>
        <w:rPr>
          <w:color w:val="000000"/>
          <w:sz w:val="28"/>
          <w:szCs w:val="28"/>
        </w:rPr>
        <w:t xml:space="preserve">гг. заложены средства резервного фонда Рябовского сельского поселения в сумме по 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  <w:lang w:val="en-US"/>
        </w:rPr>
        <w:t>000</w:t>
      </w:r>
      <w:r>
        <w:rPr>
          <w:color w:val="000000"/>
          <w:sz w:val="28"/>
          <w:szCs w:val="28"/>
        </w:rPr>
        <w:t>,0 руб. ежегодно.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Резервный фонд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>гг.  прогнозируется в проекте  бюджета  сельского поселения в соответствии с требованиями п. 3 ст.81 БК РФ, Порядка использования бюджетных ассигнований резервного фонда администрации  Рябовского сельского поселения,  утвержденного постановлением администрации Рябовского сельского поселения от 20.12.2012г. №62.</w:t>
      </w:r>
    </w:p>
    <w:p>
      <w:pPr>
        <w:pStyle w:val="Normal"/>
        <w:spacing w:before="0" w:after="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Муниципальные заимствования Рябовского сельского поселения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Рябовским сельским поселением в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годах не запланировано.</w:t>
      </w:r>
    </w:p>
    <w:p>
      <w:pPr>
        <w:pStyle w:val="Normal"/>
        <w:spacing w:before="0" w:after="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Муниципальные гарантии Рябовского сельского поселения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Предоставление и исполнение муниципальных гарантий Рябовским сельским поселением в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годах не запланировано.</w:t>
      </w:r>
    </w:p>
    <w:p>
      <w:pPr>
        <w:pStyle w:val="Normal"/>
        <w:spacing w:before="0" w:after="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Муниципальный долг Рябовского сельского поселения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Предельный объем муниципального долга Рябовского сельского поселения  на 202</w:t>
      </w:r>
      <w:r>
        <w:rPr>
          <w:color w:val="000000"/>
          <w:sz w:val="28"/>
          <w:szCs w:val="28"/>
          <w:lang w:val="en-US"/>
        </w:rPr>
        <w:t xml:space="preserve">4 </w:t>
      </w:r>
      <w:r>
        <w:rPr>
          <w:color w:val="000000"/>
          <w:sz w:val="28"/>
          <w:szCs w:val="28"/>
        </w:rPr>
        <w:t>год и плановый период 202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годов запланировано в сумме 0,00 руб.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Верхний предел муниципального долга Рябовского сельского поселения на 01 января 202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 xml:space="preserve"> года, на 01 января  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года и на 01 января 202</w:t>
      </w:r>
      <w:r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</w:rPr>
        <w:t xml:space="preserve"> года запланирован в сумме 0,00 руб.</w:t>
      </w:r>
    </w:p>
    <w:p>
      <w:pPr>
        <w:pStyle w:val="Normal"/>
        <w:spacing w:before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Предельный объем расходов бюджета Рябовского сельского поселения на обслуживание муниципального долга  Рябовского сельского поселения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годов запланирован в сумме 0,00 руб.</w:t>
      </w:r>
    </w:p>
    <w:p>
      <w:pPr>
        <w:pStyle w:val="Normal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Выводы и предложения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По результатам  экспертно-аналитического мероприятия Контрольно-счетный орган Лухского муниципального района, позволяет сделать следующие основные выводы: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1.Проект решения Совета Рябовского сельского поселения «О бюджете Рябовского сельского поселения на 202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>гг.» подготовлен в соответствии с Бюджетным  кодексом РФ, Положением о бюджетном процессе Рябовского сельского поселения, иными нормативными правовыми актами, регулирующими вопросы бюджетного планирования и бюджетной деятельности.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2.С проектом бюджета представлены все документы и материалы в соответствии со статьей 184.2 БК РФ, статьей 8 Положения о Бюджетном процессе.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3.Бюджет Рябовского сельского поселения на 2023 год сформирован: 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по доходам в сумме  </w:t>
      </w:r>
      <w:r>
        <w:rPr>
          <w:color w:val="000000"/>
          <w:sz w:val="28"/>
          <w:szCs w:val="28"/>
          <w:lang w:val="en-US"/>
        </w:rPr>
        <w:t xml:space="preserve">6 294 073,0 </w:t>
      </w:r>
      <w:r>
        <w:rPr>
          <w:color w:val="000000"/>
          <w:sz w:val="28"/>
          <w:szCs w:val="28"/>
        </w:rPr>
        <w:t>руб.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по расходам в сумме </w:t>
      </w:r>
      <w:r>
        <w:rPr>
          <w:color w:val="000000"/>
          <w:sz w:val="28"/>
          <w:szCs w:val="28"/>
          <w:lang w:val="en-US"/>
        </w:rPr>
        <w:t>6 294 073,0</w:t>
      </w:r>
      <w:r>
        <w:rPr>
          <w:color w:val="000000"/>
          <w:sz w:val="28"/>
          <w:szCs w:val="28"/>
        </w:rPr>
        <w:t>руб.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дефицит в сумме 0,0 руб.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Бюджет на плановый период 202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>гг. сформирован: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по доходам </w:t>
      </w:r>
      <w:r>
        <w:rPr>
          <w:color w:val="000000"/>
          <w:sz w:val="28"/>
          <w:szCs w:val="28"/>
          <w:lang w:val="en-US"/>
        </w:rPr>
        <w:t>5 366 673,0</w:t>
      </w:r>
      <w:r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5 239 373,0 </w:t>
      </w:r>
      <w:r>
        <w:rPr>
          <w:color w:val="000000"/>
          <w:sz w:val="28"/>
          <w:szCs w:val="28"/>
        </w:rPr>
        <w:t>руб. соответственно. К уровню 2024 года в 2025 году предполагается уменьшение доходов на 14,7%, в 2026г. к уровню 2025 г. предполагается уменьшение доходов на 2,4%.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по расходам </w:t>
      </w:r>
      <w:r>
        <w:rPr>
          <w:color w:val="000000"/>
          <w:sz w:val="28"/>
          <w:szCs w:val="28"/>
          <w:lang w:val="en-US"/>
        </w:rPr>
        <w:t>5 366 673,0</w:t>
      </w:r>
      <w:r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5 239 373,0 </w:t>
      </w:r>
      <w:r>
        <w:rPr>
          <w:color w:val="000000"/>
          <w:sz w:val="28"/>
          <w:szCs w:val="28"/>
        </w:rPr>
        <w:t>руб. соответственно. К уровню 2024 года в 2025 году предполагается уменьшение расходов на 14,7%, в 2026г. к уровню 2025 г. предполагается уменьшение расходов на 2,4%.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4.Доходы бюджета поселения (без учета безвозмездных поступлений) планируются в следующих объемах: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2023 год – 185 000,0  руб.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2024 год – 185 000,0  руб.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2025 год – 185 000,0  руб.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5.Объем безвозмездных поступлений в доход бюджета поселения составит: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2024 году – 6 111 007,0 руб. или 97,1% в общем объеме доходов;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2025 году – 5 181 673,0 руб. или 96,6% 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2026 году – 5 054 373,0 руб. или 96,5%.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Доля расходов бюджета на финансирование мероприятий 8 муниципальных программ бюджета поселения в 2024 составляет 97,8%, в 2025г. Составляет 96,6%, в 2026г. – 98,9%  от общего объема расходов бюджета, что подтверждает программно- целевой принцип формирования бюджета.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  <w:lang w:eastAsia="en-US"/>
        </w:rPr>
        <w:t>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Рябовского сельского поселения.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67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left="0" w:right="0" w:firstLine="567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Председатель Контрольно - счетного</w:t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 Лухского муниципального района:                                 О.П.Смирно</w:t>
      </w:r>
      <w:r>
        <w:rPr>
          <w:color w:val="000000"/>
          <w:sz w:val="28"/>
          <w:szCs w:val="28"/>
        </w:rPr>
        <w:t>ва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F10D0C"/>
          <w:sz w:val="28"/>
          <w:szCs w:val="28"/>
        </w:rPr>
      </w:pPr>
      <w:r>
        <w:rPr>
          <w:color w:val="F10D0C"/>
          <w:sz w:val="28"/>
          <w:szCs w:val="28"/>
        </w:rPr>
        <w:t xml:space="preserve"> </w:t>
      </w:r>
    </w:p>
    <w:sectPr>
      <w:footerReference w:type="default" r:id="rId6"/>
      <w:type w:val="nextPage"/>
      <w:pgSz w:w="11906" w:h="16838"/>
      <w:pgMar w:left="1701" w:right="850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5">
    <w:name w:val="Текст выноски Знак"/>
    <w:basedOn w:val="DefaultParagraphFont"/>
    <w:link w:val="BalloonTex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Без интервала Знак"/>
    <w:link w:val="NoSpacing"/>
    <w:qFormat/>
    <w:rPr>
      <w:rFonts w:ascii="Calibri" w:hAnsi="Calibri" w:eastAsia="Calibri" w:cs="Calibri"/>
    </w:rPr>
  </w:style>
  <w:style w:type="character" w:styleId="Style17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>
    <w:name w:val="Основной текст с отступом 3 Знак"/>
    <w:basedOn w:val="DefaultParagraphFont"/>
    <w:link w:val="BodyTextIndent3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9">
    <w:name w:val="Интернет-ссылка"/>
    <w:basedOn w:val="DefaultParagraphFont"/>
    <w:rPr>
      <w:color w:val="0000FF"/>
      <w:u w:val="single"/>
    </w:rPr>
  </w:style>
  <w:style w:type="character" w:styleId="Style20">
    <w:name w:val="Посещённая гиперссылка"/>
    <w:rPr>
      <w:color w:val="80000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7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link w:val="Style1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link w:val="Style1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9">
    <w:name w:val="Body Text Indent"/>
    <w:basedOn w:val="Normal"/>
    <w:link w:val="Style18"/>
    <w:pPr>
      <w:spacing w:before="0" w:after="120"/>
      <w:ind w:left="283" w:right="0" w:hanging="0"/>
    </w:pPr>
    <w:rPr/>
  </w:style>
  <w:style w:type="paragraph" w:styleId="BodyTextIndent3">
    <w:name w:val="Body Text Indent 3"/>
    <w:basedOn w:val="Normal"/>
    <w:link w:val="3"/>
    <w:qFormat/>
    <w:pPr>
      <w:spacing w:before="0" w:after="120"/>
      <w:ind w:left="283" w:right="0" w:hanging="0"/>
    </w:pPr>
    <w:rPr>
      <w:sz w:val="16"/>
      <w:szCs w:val="16"/>
    </w:rPr>
  </w:style>
  <w:style w:type="paragraph" w:styleId="2">
    <w:name w:val="Стиль2"/>
    <w:basedOn w:val="Normal"/>
    <w:qFormat/>
    <w:pPr>
      <w:ind w:left="0" w:right="0" w:firstLine="709"/>
      <w:jc w:val="both"/>
    </w:pPr>
    <w:rPr>
      <w:sz w:val="28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chart" Target="charts/chart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spPr>
        <a:solidFill>
          <a:srgbClr val="c0c0c0"/>
        </a:solidFill>
        <a:ln w="12600">
          <a:solidFill>
            <a:srgbClr val="808080"/>
          </a:solidFill>
          <a:round/>
        </a:ln>
      </c:spPr>
    </c:sideWall>
    <c:backWall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08525"/>
          <c:y val="0.0632222222222222"/>
          <c:w val="0.5534375"/>
          <c:h val="0.723666666666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прогноз 2023г.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2458.5</c:v>
                </c:pt>
                <c:pt idx="1">
                  <c:v>2458.5</c:v>
                </c:pt>
                <c:pt idx="2">
                  <c:v>2273.9</c:v>
                </c:pt>
                <c:pt idx="3">
                  <c:v>2273.9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прогноз 2023г.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3130.9</c:v>
                </c:pt>
                <c:pt idx="1">
                  <c:v>2671.1</c:v>
                </c:pt>
                <c:pt idx="2">
                  <c:v>1771.6</c:v>
                </c:pt>
                <c:pt idx="3">
                  <c:v>1565.6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ffffcc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прогноз 2023г.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763</c:v>
                </c:pt>
                <c:pt idx="1">
                  <c:v>401.1</c:v>
                </c:pt>
                <c:pt idx="2">
                  <c:v>436.3</c:v>
                </c:pt>
                <c:pt idx="3">
                  <c:v>522.6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нац.экономика</c:v>
                </c:pt>
              </c:strCache>
            </c:strRef>
          </c:tx>
          <c:spPr>
            <a:solidFill>
              <a:srgbClr val="ccff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прогноз 2023г.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4"/>
                <c:pt idx="0">
                  <c:v>2427.8</c:v>
                </c:pt>
                <c:pt idx="1">
                  <c:v>485.8</c:v>
                </c:pt>
                <c:pt idx="2">
                  <c:v>485.8</c:v>
                </c:pt>
                <c:pt idx="3">
                  <c:v>485.8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6600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прогноз 2023г.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4"/>
                <c:pt idx="0">
                  <c:v>120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8080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прогноз 2023г.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4"/>
                <c:pt idx="0">
                  <c:v>115.4</c:v>
                </c:pt>
                <c:pt idx="1">
                  <c:v>120.6</c:v>
                </c:pt>
                <c:pt idx="2">
                  <c:v>124.8</c:v>
                </c:pt>
              </c:numCache>
            </c:numRef>
          </c:val>
        </c:ser>
        <c:gapWidth val="150"/>
        <c:shape val="box"/>
        <c:axId val="4854579"/>
        <c:axId val="96121911"/>
        <c:axId val="0"/>
      </c:bar3DChart>
      <c:catAx>
        <c:axId val="4854579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sz="1950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96121911"/>
        <c:crosses val="autoZero"/>
        <c:auto val="1"/>
        <c:lblAlgn val="ctr"/>
        <c:lblOffset val="100"/>
        <c:noMultiLvlLbl val="0"/>
      </c:catAx>
      <c:valAx>
        <c:axId val="96121911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sz="1950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4854579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875"/>
          <c:y val="0.187777777777778"/>
          <c:w val="0.318019876242265"/>
          <c:h val="0.639182131347928"/>
        </c:manualLayout>
      </c:layout>
      <c:overlay val="0"/>
      <c:spPr>
        <a:noFill/>
        <a:ln w="3240">
          <a:solidFill>
            <a:srgbClr val="000000"/>
          </a:solidFill>
          <a:round/>
        </a:ln>
      </c:spPr>
      <c:txPr>
        <a:bodyPr/>
        <a:lstStyle/>
        <a:p>
          <a:pPr>
            <a:defRPr b="1" sz="1950" spc="-1" strike="noStrike">
              <a:solidFill>
                <a:srgbClr val="000000"/>
              </a:solidFill>
              <a:latin typeface="Arial Cyr"/>
              <a:ea typeface="Arial Cyr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LibreOffice/7.3.4.2$Windows_X86_64 LibreOffice_project/728fec16bd5f605073805c3c9e7c4212a0120dc5</Application>
  <AppVersion>15.0000</AppVersion>
  <Pages>15</Pages>
  <Words>3896</Words>
  <Characters>26232</Characters>
  <CharactersWithSpaces>30837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2023-11-27T19:26:00Z</dcterms:created>
  <dc:creator>Inna</dc:creator>
  <dc:description/>
  <dc:language>ru-RU</dc:language>
  <cp:lastModifiedBy/>
  <cp:lastPrinted>2023-11-28T14:57:10Z</cp:lastPrinted>
  <dcterms:modified xsi:type="dcterms:W3CDTF">2024-01-19T13:16:13Z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