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1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/>
      </w:pPr>
      <w:r>
        <w:rPr/>
        <w:drawing>
          <wp:inline distT="0" distB="0" distL="0" distR="0">
            <wp:extent cx="581025" cy="733425"/>
            <wp:effectExtent l="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КОНТРОЛЬНО-СЧЕТНЫЙ ОРГАН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ЛУХСКОГО МУНИЦИПАЛЬНОГО РАЙОНА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ИВАНОВСКОЙ ОБЛАСТИ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155270, Ивановская область, п.Лух, ул.Октябрьская,д.4., тел. 8(49344) 2-12-61   </w:t>
      </w:r>
    </w:p>
    <w:p>
      <w:pPr>
        <w:pStyle w:val="Normal"/>
        <w:spacing w:lineRule="auto" w:line="240" w:before="0" w:after="200"/>
        <w:contextualSpacing/>
        <w:jc w:val="center"/>
        <w:rPr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 luhkso@yandex.ru       </w:t>
      </w:r>
    </w:p>
    <w:p>
      <w:pPr>
        <w:pStyle w:val="Normal"/>
        <w:spacing w:lineRule="auto" w:line="240"/>
        <w:jc w:val="right"/>
        <w:rPr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«27» </w:t>
      </w:r>
      <w:r>
        <w:rPr>
          <w:rFonts w:cs="Times New Roman" w:ascii="Times New Roman" w:hAnsi="Times New Roman"/>
          <w:sz w:val="28"/>
          <w:szCs w:val="28"/>
        </w:rPr>
        <w:t>ноября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2023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 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 № 64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результатам проведения экспертно-аналитического мероприятия «Экспертиза проекта решения Совета Благовещенского  сельского поселения «О бюджете  Благовещенского  сельского поселения на 2024 год и плановый период 2025 2026 годов» к первому чтению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на проект решения Совета Благовещенского сельского поселения «О бюджете Благовещенского сельского поселения на 2024 год и плановый период 2025 и 2026 годов» (далее – проект решения о бюджете) в соответствии с Бюджетным кодексом Российской Федерации (далее БК РФ), Уставом  Благовещенского сельского поселения, «Положения о  бюджетном процессе Благовещенского сельского поселения» утвержденного решением Совета Благовещенского сельского поселения от 20.03.2014г. №2 (в действующей редакции), Решением Совета Благовещенского сельского поселения от 2712.2021г.  № 32 о передаче части полномочий по осуществлению внешнего муниципального финансового контроля, Соглашением № 1 между  Советом Благовещенского сельского поселения, Советом Лухского муниципального района  и Контрольно-счетным органом Лухского муниципального района «О передаче   Контрольно-счетному органу Лухского муниципального района полномочий Контрольно-счетной комиссий  поселений по осуществлению внешнего финансового контроля»  от 28.02.2023 г., распоряжением председателя Контрольно-счетного органа от 16.11.2023г. №62.  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Предмет экспертно-аналитического мероприятия:</w:t>
      </w:r>
      <w:r>
        <w:rPr>
          <w:rFonts w:cs="Times New Roman" w:ascii="Times New Roman" w:hAnsi="Times New Roman"/>
          <w:sz w:val="28"/>
          <w:szCs w:val="28"/>
        </w:rPr>
        <w:t xml:space="preserve"> проект решения Совета Благовещенского сельского поселения «О бюджете  Благовещенского сельского поселения на 2024 год и плановый период 2025 и 2026 годов» (к первому чтению) с приложениями, а также документы и материалы, предоставленные одновременно с ним.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Цель экспертно-аналитического мероприятия:</w:t>
      </w:r>
      <w:r>
        <w:rPr>
          <w:rFonts w:cs="Times New Roman" w:ascii="Times New Roman" w:hAnsi="Times New Roman"/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Объекты экспертно-аналитического мероприятия: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Администрация Благовещенского сельского поселения, как орган, уполномоченный на составление проекта бюджета Благовещенского сельского поселения, а также на внесение его с необходимыми документами на рассмотрение Совета Благовещенского сельского поселения;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Совет Благовещенского сельского поселения, как орган, уполномоченный на рассмотрение и принятие проекта бюджета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>
        <w:rPr>
          <w:rFonts w:cs="Times New Roman" w:ascii="Times New Roman" w:hAnsi="Times New Roman"/>
          <w:sz w:val="28"/>
          <w:szCs w:val="28"/>
        </w:rPr>
        <w:t>с 16.11.2023г. по 27.11.2023г.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Руководитель экспертно-аналитического мероприятия:</w:t>
      </w:r>
      <w:r>
        <w:rPr>
          <w:rFonts w:cs="Times New Roman" w:ascii="Times New Roman" w:hAnsi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Проект бюджета Благовещенского сельского поселения на 2024 год и на плановый период 2025 и 2026 годов к первому чтению представлен в виде проекта решения Совета Благовещенского сельского поселения «О бюджете Благовещенского сельского поселения на 2024 год и на плановый период 2025 и 2026 годов» с приложениями.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 п. 4 ст.169 БК РФ проект утверждается сроком на три года -  очередной финансовый год и плановый период.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При подготовке заключения к первому  чтению Контрольно-счетный орган учитывал необходимость реализации положений, содержащихся в Бюджетном послании Президента Российской Федерации Федеральному Собранию Российской Федерации (в части бюджетной политики) (далее – Бюджетное послание Президента РФ), основных направлениях бюджетной и налоговой политики Благовещенского сельского поселения на 2024 год и плановый период 2025-2026 годов, утвержденных постановлением  администрации Благовещенского сельского поселения от 01.11.2023 г. № 61, прогнозом социально-экономического развития  Благовещенского сельского поселения на 2024 и на период до 2026 года Проект решения о бюджете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174.2 Бюджетного кодекса разработан Порядок составления проекта бюджета Благовещенского сельского поселения на очередной финансовый год и плановый период, который утвержден постановлением  администрации  Благовещенского сельского поселения от 31.10.2014г. №69 «Об утверждении Порядка составления проекта бюджета Благовещенского сельского поселения на очередной финансовый год и плановый период» (далее – Порядок №69), сроки подготовки документов при разработке проекта решения о бюджете определяются в п.3  Порядка №69. 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Прогноз социально-экономического развития  Благовещенского сельского поселения на 2024 - 2026 годы  одобрен постановлением администрации Благовещенского сельского поселения от 01.11.2023 г.  № 62  в соответствии  с требованиями п.3 ст. 173 БК РФ,  Порядок разработки прогноза социально-экономического развития  Благовещенского сельского поселения, утвержден постановлением администрации   от 31.10. 2014г.№ 68.</w:t>
      </w:r>
    </w:p>
    <w:p>
      <w:pPr>
        <w:pStyle w:val="Normal"/>
        <w:tabs>
          <w:tab w:val="clear" w:pos="708"/>
          <w:tab w:val="left" w:pos="1065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Проект решения о бюджете внесен администрацией Благовещенского сельского поселения на рассмотрение Совета Благовещенского сельского поселении в соответствии с пунктом 7.1. статьи 7 Положения о бюджетном процессе, т.е. в срок до 15 ноября 2023 года. Данный проект направлен в Контрольно-счетный орган для составления заключения о соответствии предоставленных документов и материалов.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Перечень и содержание документов, предоставленных одновременно с проектом решения о бюджете на 2024-2026 гг. соответствует требованиям ст. 184.2 БК РФ в действующей редакции. </w:t>
      </w:r>
    </w:p>
    <w:p>
      <w:pPr>
        <w:pStyle w:val="Normal"/>
        <w:spacing w:lineRule="auto" w:line="240" w:before="0" w:after="200"/>
        <w:ind w:firstLine="708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Общая характеристика проекта решения Совета Благовещенского сельского поселения «О бюджете Благовещенского сельского поселения на 2024 год и плановый период 2025-2026 годов»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Согласно бюджетному законодательству, за 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 Однако имеются закрепленные за  сельскими поселениями доходы не связаны с производственной деятельностью предприятий, находящихся на их территории. Данные доходы перераспределяются между федеральным и региональным бюджетами.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Основные характеристики проекта бюджета Благовещенского сельского поселения</w:t>
      </w:r>
      <w:r>
        <w:rPr>
          <w:rFonts w:cs="Times New Roman" w:ascii="Times New Roman" w:hAnsi="Times New Roman"/>
          <w:bCs/>
          <w:sz w:val="28"/>
          <w:szCs w:val="28"/>
        </w:rPr>
        <w:t>:</w:t>
      </w:r>
    </w:p>
    <w:p>
      <w:pPr>
        <w:pStyle w:val="NoSpacing"/>
        <w:spacing w:before="0" w:after="200"/>
        <w:contextualSpacing/>
        <w:jc w:val="both"/>
        <w:rPr/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2024 год:</w:t>
      </w:r>
    </w:p>
    <w:p>
      <w:pPr>
        <w:pStyle w:val="NoSpacing"/>
        <w:spacing w:before="0" w:after="200"/>
        <w:contextualSpacing/>
        <w:rPr/>
      </w:pPr>
      <w:r>
        <w:rPr>
          <w:bCs/>
          <w:sz w:val="28"/>
          <w:szCs w:val="28"/>
        </w:rPr>
        <w:t xml:space="preserve">общий объем доходов бюджета в сумме  5 135 203,96 руб. ; 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общий объем расходов бюджета в сумме  5 135 203,96 руб. ;   </w:t>
      </w:r>
    </w:p>
    <w:p>
      <w:pPr>
        <w:pStyle w:val="NoSpacing"/>
        <w:rPr/>
      </w:pPr>
      <w:r>
        <w:rPr>
          <w:bCs/>
          <w:sz w:val="28"/>
          <w:szCs w:val="28"/>
        </w:rPr>
        <w:t>дефицит (профицит) бюджета в сумме 0,0 рублей.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2025 год:</w:t>
      </w:r>
    </w:p>
    <w:p>
      <w:pPr>
        <w:pStyle w:val="NoSpacing"/>
        <w:rPr/>
      </w:pPr>
      <w:r>
        <w:rPr>
          <w:bCs/>
          <w:sz w:val="28"/>
          <w:szCs w:val="28"/>
        </w:rPr>
        <w:t>общий объем доходов  бюджета в сумме 5 028 603,96 руб.;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общий объем расходов  бюджета в сумме  5 028 603,96 руб.;   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дефицит (профицит) бюджета в сумме 0,0 рублей.  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2026 год: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общий объем доходов бюджета в сумме   4 903 803,96 руб.;  </w:t>
      </w:r>
    </w:p>
    <w:p>
      <w:pPr>
        <w:pStyle w:val="NoSpacing"/>
        <w:jc w:val="both"/>
        <w:rPr/>
      </w:pPr>
      <w:r>
        <w:rPr>
          <w:bCs/>
          <w:sz w:val="28"/>
          <w:szCs w:val="28"/>
        </w:rPr>
        <w:t xml:space="preserve">общий объем расходов  бюджета в сумме 4 903 803,96 руб.;   </w:t>
      </w:r>
    </w:p>
    <w:p>
      <w:pPr>
        <w:pStyle w:val="NoSpacing"/>
        <w:rPr/>
      </w:pPr>
      <w:r>
        <w:rPr>
          <w:bCs/>
          <w:sz w:val="28"/>
          <w:szCs w:val="28"/>
        </w:rPr>
        <w:t xml:space="preserve">дефицит (профицит) бюджета в сумме 0,0 рублей.    </w:t>
      </w:r>
    </w:p>
    <w:p>
      <w:pPr>
        <w:pStyle w:val="NoSpacing"/>
        <w:spacing w:before="0" w:after="200"/>
        <w:contextualSpacing/>
        <w:jc w:val="both"/>
        <w:rPr/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Проект бюджета сформирован без дефицита, что отражает его сбалансированность. </w:t>
      </w:r>
    </w:p>
    <w:p>
      <w:pPr>
        <w:pStyle w:val="NoSpacing"/>
        <w:spacing w:before="0" w:after="200"/>
        <w:contextualSpacing/>
        <w:jc w:val="center"/>
        <w:rPr/>
      </w:pPr>
      <w:r>
        <w:rPr>
          <w:b/>
          <w:bCs/>
          <w:sz w:val="28"/>
          <w:szCs w:val="28"/>
        </w:rPr>
        <w:t>Общая характеристика доходной части бюджета.</w:t>
      </w:r>
    </w:p>
    <w:p>
      <w:pPr>
        <w:pStyle w:val="Style20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данным проекта бюджета сельского поселения на 2024 год общий объем доходов предусмотрен в сумме5 135 203,96 руб. (с учетом безвозмездных поступлений от  других бюджетов бюджетной системы РФ), что на 2 786 326,04 руб. или  на 35,17 % ниже ожидаемой оценки 2023 г., в основном за счет уменьшения безвозмездных поступлений (с 7 787 130,00 руб. по оценке ожидаемого поступления в 2023 году до  5 014 808,00 руб. в проекте бюджета на 2024 год). Прогнозируемые объемы доходов бюджета  поселения на 2024 год определены исходя из ожидаемой оценки по поступлению налоговых и неналоговых платежей в бюджет  сельского поселения в 2023 году,  с  учетом основных показателей прогноза социально-экономического развития  </w:t>
      </w:r>
      <w:r>
        <w:rPr>
          <w:bCs/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сельского поселения на очередной финансовый год и плановый период.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сборах.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(далее - Закон Ивановской области от 10.10.2005 № 121-ОЗ).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Безвозмездные поступления из бюджетов разных уровней на 2024  год заложены в проекте бюджета в сумме 5 014 808,00 руб.  На плановый период 2025 года – 4 908 208,00 руб.; 2026 год – 4 783 408,00 руб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Размер дотации на выравнивание уровня бюджетной обеспеченности сельскому поселению  определен на 2024  г. в сумме 4 429 000,00 руб.,  на плановый период 2025 г.- 4 318 200,00 руб.; 2026 г.- 4 318 200,00руб.      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Анализируя проект решения о бюджете  Благовещенского сельского поселения на 2024 год и плановый период 2025-2026 годов  можно сделать вывод,  что сохраняется чрезмерная зависимость от областного бюджета, безвозмездные поступления из бюджетов разных уровней в общем объеме доходной части бюджета составляет на 2024 год -  97,66 % (плановый период 2025г. – 97,60%,2025 г. – 97,54%), то есть  поселение  является высокодотационным.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Динамика всех уровней доходов местного бюджета представлена в следующей таблице. </w:t>
      </w:r>
    </w:p>
    <w:p>
      <w:pPr>
        <w:pStyle w:val="Normal"/>
        <w:spacing w:lineRule="auto" w:line="240" w:before="0" w:after="200"/>
        <w:ind w:firstLine="709"/>
        <w:contextualSpacing/>
        <w:jc w:val="right"/>
        <w:rPr/>
      </w:pPr>
      <w:r>
        <w:rPr>
          <w:rFonts w:cs="Times New Roman" w:ascii="Times New Roman" w:hAnsi="Times New Roman"/>
        </w:rPr>
        <w:t xml:space="preserve">( тыс.руб.)    </w:t>
      </w:r>
    </w:p>
    <w:tbl>
      <w:tblPr>
        <w:tblW w:w="105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19"/>
        <w:gridCol w:w="1081"/>
        <w:gridCol w:w="961"/>
        <w:gridCol w:w="917"/>
        <w:gridCol w:w="1022"/>
        <w:gridCol w:w="961"/>
        <w:gridCol w:w="961"/>
        <w:gridCol w:w="961"/>
        <w:gridCol w:w="782"/>
        <w:gridCol w:w="709"/>
        <w:gridCol w:w="708"/>
      </w:tblGrid>
      <w:tr>
        <w:trPr>
          <w:trHeight w:val="435" w:hRule="atLeast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Ожид. показат. 2023г.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  решения на 2024г. и плановый период 2025-2026 гг.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Абсолютное отклонение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 отклонение</w:t>
            </w:r>
          </w:p>
        </w:tc>
      </w:tr>
      <w:tr>
        <w:trPr>
          <w:trHeight w:val="310" w:hRule="atLeast"/>
        </w:trPr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2026г.</w:t>
            </w:r>
          </w:p>
        </w:tc>
      </w:tr>
      <w:tr>
        <w:trPr>
          <w:trHeight w:val="880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Собственные доходы, всего, в т.ч.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-10,4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-налоговые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-10,8</w:t>
            </w:r>
          </w:p>
        </w:tc>
      </w:tr>
      <w:tr>
        <w:trPr>
          <w:trHeight w:val="498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-неналоговые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7 787,13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5 014,8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4 908,2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4 783,4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-2772,33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-106,6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-124,8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-2,54</w:t>
            </w:r>
          </w:p>
        </w:tc>
      </w:tr>
      <w:tr>
        <w:trPr>
          <w:trHeight w:val="180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6 135,1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4 429,0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4 318,2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4 318,2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-1706,1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-110,8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302,41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Межбюджет-ные трансферты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1234,22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465,2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465,2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465,2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-765,02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7 921,53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5 135,2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5 028,6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4 903,8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-2786,33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-106,6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-124,8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-35,17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-2,48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Доля </w:t>
      </w:r>
      <w:r>
        <w:rPr>
          <w:rFonts w:cs="Times New Roman" w:ascii="Times New Roman" w:hAnsi="Times New Roman"/>
          <w:b/>
          <w:sz w:val="28"/>
          <w:szCs w:val="28"/>
        </w:rPr>
        <w:t>налога на доходы физических</w:t>
      </w:r>
      <w:r>
        <w:rPr>
          <w:rFonts w:cs="Times New Roman" w:ascii="Times New Roman" w:hAnsi="Times New Roman"/>
          <w:sz w:val="28"/>
          <w:szCs w:val="28"/>
        </w:rPr>
        <w:t xml:space="preserve"> лиц в структуре прогноза  налоговых доходов в бюджете поселения на 2024 – 2026 годы составляет 24,9% 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Общая сумма  налоговой базы по налогу на доходы физических лиц с доходов, источником которых является налоговый агент, за исключением доходов, в отношении  которых исчисление и уплата налога осуществляются в соответствии со статьями 227, 227.1 и 228 Налогового кодекса Российской   Федерации составит 2024 год – 30 000,0 руб. 2025 – 30 000,0 руб., 2026г.г. -  30 000,0 руб.  Ожидаемое поступление по налогу на доходы физических лиц в 2023 году 23 000,0  рублей.  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Налоги на совокупный доход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Налоги на совокупный доход в структуре прогноза налоговых доходов в бюджете поселения составит: 2024 год – 0,8%, 2025 год – 0,8%, 2026 год – 0,8%.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Указанный налог зачисляется в бюджет поселения по нормативу 30%. Прогноз поступлений в 2023 году составит 1 000,0 руб.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Налоги на имущество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За 2023 год ожидаемое исполнение по налогу на имущество составляет 106 000,0  руб., за 10 месяцев 2023 года фактически поступили  налоги на имущество в сумме 51 830,0 руб., или 48,9 % к годовому назначению.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доход сельского поселения определен норматив отчислений 100%.  На 2024-2026г.г.  поступление налогов на имущество заложено в проекте бюджета в сумме 85,0 тыс.руб. ежегодно,  в том числе: поступление налога на имущество физических лиц в сумме 5 000,0  руб. ежегодно, земельный налог с организаций в сумме 1 000,0 руб., земельный налог с физических лиц – 79 000,0  руб. ежегодно.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Доходы от использования имущества</w:t>
      </w:r>
      <w:r>
        <w:rPr>
          <w:rFonts w:cs="Times New Roman" w:ascii="Times New Roman" w:hAnsi="Times New Roman"/>
          <w:sz w:val="28"/>
          <w:szCs w:val="28"/>
        </w:rPr>
        <w:t xml:space="preserve"> находящегося в  муниципальной собственности планируется на 2024-2026 годы в сумме 4 395,96 руб. Ожидаемое поступление  в 2023 году планируется в сумме 4 395,96 руб.. 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firstLine="567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Безвозмездные поступления 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- из областного бюджета  в виде дотаций, субсидий, субвенций и иных межбюджетных трансфертов на 2024-2026 годы соответственно в суммах      4 429 000,0 руб., 4 318 200,0 руб., 4 318 200,0 руб., определенные в соответствии с проектом областного закона «Об областном бюджете на 2024 год и на плановый период 2025 и 2026годов»;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 финансовое обеспечение полномочий субъекта Российской Федерации, делегируемых для исполнения органам местного самоуправления, предусматриваются 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субвенции  на осуществление полномочий по первичному воинскому учету на территориях, где отсутствуют военные комиссариаты на 2024 год предусматривается в сумме  120 600,0  руб., на 2025 год – 124 800,0 руб., на 2026 год средства не запланированы.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из бюджета  Лухского муниципального района иные межбюджетные трансферты – 465 208,0 руб. ежегодно, определенные в соответствии с проектом решения «О районном бюджете на 2024 год и на плановый период 2025 и 2026 годов».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Объем безвозмездных поступлений в общей сумме доходов бюджета поселения в 2024 году составит 97,7%, на плановый период 2025 года - 97,6%, 2026 год – 97,5%.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Данные о безвозмездных поступлениях представлены в таблице .</w:t>
      </w:r>
    </w:p>
    <w:p>
      <w:pPr>
        <w:pStyle w:val="2"/>
        <w:spacing w:before="0" w:after="0"/>
        <w:contextualSpacing/>
        <w:jc w:val="center"/>
        <w:rPr/>
      </w:pPr>
      <w:r>
        <w:rPr>
          <w:b/>
          <w:szCs w:val="28"/>
        </w:rPr>
        <w:t>Безвозмездные поступления</w:t>
      </w:r>
    </w:p>
    <w:p>
      <w:pPr>
        <w:pStyle w:val="2"/>
        <w:spacing w:before="0" w:after="0"/>
        <w:contextualSpacing/>
        <w:jc w:val="right"/>
        <w:rPr/>
      </w:pPr>
      <w:r>
        <w:rPr>
          <w:sz w:val="24"/>
          <w:szCs w:val="24"/>
        </w:rPr>
        <w:t>(тыс. руб.)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39"/>
        <w:gridCol w:w="1988"/>
        <w:gridCol w:w="1567"/>
        <w:gridCol w:w="1567"/>
        <w:gridCol w:w="1571"/>
      </w:tblGrid>
      <w:tr>
        <w:trPr>
          <w:trHeight w:val="117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2023 год</w:t>
            </w:r>
          </w:p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7 787,1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5 014,8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4 908,2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4 783,4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sz w:val="24"/>
                <w:szCs w:val="24"/>
              </w:rPr>
              <w:t>- дотации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6 135,1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4 429,0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4 318,2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4 318,2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sz w:val="24"/>
                <w:szCs w:val="24"/>
              </w:rPr>
              <w:t>- субсидии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sz w:val="24"/>
                <w:szCs w:val="24"/>
              </w:rPr>
              <w:t>- субвенции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left"/>
              <w:rPr/>
            </w:pPr>
            <w:r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1 234,2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465,2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Наибольший удельный вес в общем объеме безвозмездных поступлений занимает дотация на выравнивание бюджетной обеспеченности.</w:t>
      </w:r>
    </w:p>
    <w:p>
      <w:pPr>
        <w:pStyle w:val="Normal"/>
        <w:spacing w:lineRule="auto" w:line="240" w:before="0" w:after="200"/>
        <w:ind w:firstLine="708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Общая характеристика расходной части бюджета</w:t>
      </w:r>
    </w:p>
    <w:p>
      <w:pPr>
        <w:pStyle w:val="Default"/>
        <w:spacing w:before="0" w:after="2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Расходы проекта бюджета Благовещенского сельского поселения  на 2024 год предусмотрены  в целом в сумме 5 135 203,96 руб., что на  2 786 326,04  руб. меньше расходов 2023 г. (7 921 530,0 руб.).  </w:t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Расходы на 2025 год запланированы в сумме 4 917 638,96 руб., по сравнению с 2024г. расходы сократятся  на 217 565,0 руб.</w:t>
      </w:r>
    </w:p>
    <w:p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Расходы на 2026 год запланированы в сумме 4 681 873,96 руб., что на 235 765,0 руб. меньше расходов бюджета 2025 г. </w:t>
      </w:r>
    </w:p>
    <w:p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Структура расходов бюджета сельского поселения построена на исполнение принятых расходных обязательств  Благовещенского сельского поселения. За основу приняты показатели ожидаемого выполнения местного бюджета сельского поселения за 2023 год с учетом уточнений по следующим направлениям:</w:t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1) определение «базовых» объемов бюджетных ассигнований на 2024 год на основе утвержденных Решением о бюджете в действующей редакции;</w:t>
      </w:r>
    </w:p>
    <w:p>
      <w:pPr>
        <w:pStyle w:val="11"/>
        <w:jc w:val="both"/>
        <w:rPr/>
      </w:pPr>
      <w:r>
        <w:rPr>
          <w:rFonts w:ascii="Times New Roman" w:hAnsi="Times New Roman"/>
          <w:sz w:val="28"/>
          <w:szCs w:val="28"/>
        </w:rPr>
        <w:t>2) уменьшение расходов (за исключением бюджетных ассигнований  на оплату труда с начислениями, уплату налогов и сборов, социальных выплат, исполнение судебных актов, а также бюджетных ассигнований за счет средств областного  бюджета, имеющих целевое назначение).</w:t>
      </w:r>
    </w:p>
    <w:p>
      <w:pPr>
        <w:pStyle w:val="11"/>
        <w:jc w:val="both"/>
        <w:rPr/>
      </w:pPr>
      <w:r>
        <w:rPr>
          <w:rFonts w:ascii="Times New Roman" w:hAnsi="Times New Roman"/>
          <w:sz w:val="28"/>
          <w:szCs w:val="28"/>
        </w:rPr>
        <w:t>3) обеспечение достигнутых в 2023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культуры;</w:t>
      </w:r>
    </w:p>
    <w:p>
      <w:pPr>
        <w:pStyle w:val="NormalANX"/>
        <w:spacing w:lineRule="auto" w:line="240" w:before="0" w:after="0"/>
        <w:ind w:hanging="0"/>
        <w:rPr/>
      </w:pPr>
      <w:r>
        <w:rPr>
          <w:szCs w:val="28"/>
        </w:rPr>
        <w:t>4)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>
      <w:pPr>
        <w:pStyle w:val="NormalANX"/>
        <w:spacing w:lineRule="auto" w:line="240" w:before="0" w:after="0"/>
        <w:ind w:hanging="0"/>
        <w:rPr/>
      </w:pPr>
      <w:r>
        <w:rPr>
          <w:szCs w:val="28"/>
        </w:rPr>
        <w:t>5) соблюдение программного принципа построения бюджета.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Программная структура расходов бюджета поселения на 2024 год и плановый период 2025 и 2026 годов  представлена следующим образом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 требованиями бюджетного законодательства проект бюджета сформирован в программной структуре расходов на основе муниципальных программ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 2014 года Благовещенское сельское поселение (согласно изменениям БК РФ) завершило переход на реализацию муниципальных программ. 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Style w:val="FontStyle11"/>
          <w:b w:val="false"/>
          <w:sz w:val="28"/>
          <w:szCs w:val="28"/>
        </w:rPr>
        <w:t xml:space="preserve">     </w:t>
      </w:r>
      <w:r>
        <w:rPr>
          <w:rStyle w:val="FontStyle11"/>
          <w:b w:val="false"/>
          <w:sz w:val="28"/>
          <w:szCs w:val="28"/>
        </w:rPr>
        <w:t>В 2024 году и плановый период 2025-2026г.г.  намечено к реализации 8                  муниципальных программ.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Наибольший удельный вес в структуре расходов на 2024 год составляют программные расходы на 97,6%, на плановый период 2025 г.- 97,4%, на 2026г. - 99,9%. Муниципальными программами в 2024г. не охвачено 2,4 % общих расходов бюджета, или 123 210,0 руб. (направленных на осуществление первичного воинского учета на территориях, где отсутствуют военные комиссариаты , расходы на оплату членских взносов в Совет муниципальных образований Ивановской области и расходы на исполнение судебных актов), в 2025 г. – 2,6% (127 300,0 руб.), в 2026г. – 0,1% (2 500,0  руб.).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Наибольшая доля программных расходов приходится на «Культуру Благовещенского сельского поселения» в 2024г. -  30,7 %, в 2025 г.-29,57%, в 2026г.- 31,1% , а так же на «Эффективную реализацию органами местного самоуправления полномочий по решению вопросов местного значения» в 2024г. – 47,9%, в 2025г. - 46,1%, в 2026г. – 48,4%, муниципальная программа «Развитие жилищно-коммунального хозяйства Благовещенского сельского поселения» в 2024г.-7,2%, в 2025г.- 9,4%, в 2026г. – 7,5%.  </w:t>
      </w:r>
    </w:p>
    <w:p>
      <w:pPr>
        <w:pStyle w:val="Normal"/>
        <w:tabs>
          <w:tab w:val="clear" w:pos="708"/>
          <w:tab w:val="left" w:pos="3460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На момент подготовки экспертного заключения  по формированию    бюджета  Благовещенского сельского поселения  на 2024 год и плановый период 2025 и 2026 годов все восемь</w:t>
      </w:r>
      <w:r>
        <w:rPr>
          <w:rFonts w:cs="Times New Roman" w:ascii="Times New Roman" w:hAnsi="Times New Roman"/>
          <w:bCs/>
          <w:sz w:val="28"/>
          <w:szCs w:val="28"/>
        </w:rPr>
        <w:t xml:space="preserve"> муниципальных программ, финансирование по которым предусмотрено проектом бюджета, утверждены постановлениями администрации Благовещенского сельского поселения, что соответствуем</w:t>
      </w:r>
      <w:r>
        <w:rPr>
          <w:rFonts w:cs="Times New Roman" w:ascii="Times New Roman" w:hAnsi="Times New Roman"/>
          <w:sz w:val="28"/>
          <w:szCs w:val="28"/>
        </w:rPr>
        <w:t xml:space="preserve"> Порядку разработки, реализации и оценки эффективности программ Благовещенского сельского поселения, утвержденного постановлением администрации Благовещенского сельского поселения от 01.11.2013г. №74а.</w:t>
      </w:r>
    </w:p>
    <w:p>
      <w:pPr>
        <w:pStyle w:val="Normal"/>
        <w:tabs>
          <w:tab w:val="clear" w:pos="708"/>
          <w:tab w:val="left" w:pos="3460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проекте решения о бюджете учтена реализация следующих муниципальных  программ:</w:t>
      </w:r>
    </w:p>
    <w:p>
      <w:pPr>
        <w:pStyle w:val="Normal"/>
        <w:tabs>
          <w:tab w:val="clear" w:pos="708"/>
          <w:tab w:val="left" w:pos="3460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 </w:t>
      </w:r>
      <w:r>
        <w:rPr>
          <w:rFonts w:cs="Times New Roman" w:ascii="Times New Roman" w:hAnsi="Times New Roman"/>
          <w:sz w:val="28"/>
          <w:szCs w:val="28"/>
        </w:rPr>
        <w:t xml:space="preserve">утверждена постановлением администрации Благовещенского сельского поселения от 05.11.2013г. №80, Постановлением администрации Благовещенского сельского поселения от 01.11.2023г. №64 в данную Программу внесены изменения, утвердив бюджетные назначения  на 2024 г. в сумме – 2 460 612,0 руб., на плановый период 2025 и 2026 г.г. в сумме </w:t>
      </w:r>
      <w:r>
        <w:rPr>
          <w:rFonts w:cs="Times New Roman" w:ascii="Times New Roman" w:hAnsi="Times New Roman"/>
          <w:sz w:val="28"/>
          <w:szCs w:val="28"/>
          <w:lang w:eastAsia="en-US"/>
        </w:rPr>
        <w:t>2 268 394,0</w:t>
      </w:r>
      <w:r>
        <w:rPr>
          <w:rFonts w:cs="Times New Roman" w:ascii="Times New Roman" w:hAnsi="Times New Roman"/>
          <w:sz w:val="28"/>
          <w:szCs w:val="28"/>
        </w:rPr>
        <w:t xml:space="preserve"> руб. ежегодно.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Срок реализации данной программы – 2019-2026 годы. Проектом бюджета установлен аналогичный объем финансирования Программы.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Целями программы являются – совершенствование муниципального управления, повышение его эффективности. Совершенствование организации муниципальной службы в администрации Благовещенского сельского поселения, повышение эффективности исполнения муниципальными служащими своих должностных обязанностей.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данной программе имеется одна специальная  подпрограмма: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-«Обеспечение деятельности органов местного самоуправления администрации Благовещенского сельского поселения»;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и одна аналитическая подпрограмма:</w:t>
      </w:r>
    </w:p>
    <w:p>
      <w:pPr>
        <w:pStyle w:val="Normal"/>
        <w:tabs>
          <w:tab w:val="clear" w:pos="708"/>
          <w:tab w:val="left" w:pos="3460" w:leader="none"/>
        </w:tabs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-«Обеспечение финансирования непредвиденных расходов Благовещенского сельского поселения».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«Обеспечение безопасности граждан» </w:t>
      </w:r>
      <w:r>
        <w:rPr>
          <w:rFonts w:cs="Times New Roman" w:ascii="Times New Roman" w:hAnsi="Times New Roman"/>
          <w:sz w:val="28"/>
          <w:szCs w:val="28"/>
        </w:rPr>
        <w:t xml:space="preserve">утверждена постановлением администрации Благовещенского сельского поселения от 05.11.2013 г. №81. На 2024 год  в данную Программу  внесены изменения постановлением администрации Благовещенского сельского поселения от  01.11.2023 г. №65, утвердив бюджетные назначения на 2024 г. в сумме 50 000,00 руб., на плановый период 2025 и 2026г. в сумме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50 000,00 </w:t>
      </w:r>
      <w:r>
        <w:rPr>
          <w:rFonts w:cs="Times New Roman" w:ascii="Times New Roman" w:hAnsi="Times New Roman"/>
          <w:sz w:val="28"/>
          <w:szCs w:val="28"/>
        </w:rPr>
        <w:t xml:space="preserve">руб. ежегодно. Проектом бюджета установлен объем финансирования Программы в этих же размерах 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Программа разработана на период 2019-2026 гг.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Цель программы – повышение уровня безопасности жизнедеятельности населения в Благовещенском сельском поселении.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рамках данной программы имеется аналитическая подпрограмма: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«Защита населения и территории от чрезвычайных ситуаций природного и техногенного характера, гражданская оборона, обеспечение пожарной безопасности».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поселения«Развитие автомобильных дорог общего пользования  местного значения Благовещенского сельского поселения». </w:t>
      </w:r>
      <w:r>
        <w:rPr>
          <w:rFonts w:cs="Times New Roman" w:ascii="Times New Roman" w:hAnsi="Times New Roman"/>
          <w:sz w:val="28"/>
          <w:szCs w:val="28"/>
        </w:rPr>
        <w:t xml:space="preserve">Срок реализации программы – 2019-2026 годы. Данная программа утверждена постановлением администрации Благовещенского  сельского поселения от 05.11.2013 г. №82.  На 2024 год и плановый период 2025 и 2026 годов в   Программу внесены изменения постановлением администрации Благовещенского сельского поселения от 01.11.2023г. № 66, утвердив бюджетные назначения  на 2024 г. и плановый период 2025 и 2026 г. в сумме 384 708,0 руб. ежегодно. Проектом бюджета установлен аналогичный объем финансирования программы.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Целью программы является – обеспечение населения доступными и качественными круглогодичными услугами транспорта; достижение требуемого технического и эксплуатационного состояния дорог местного значения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рамках данной программы имеется две подпрограммы:</w:t>
      </w:r>
    </w:p>
    <w:p>
      <w:pPr>
        <w:pStyle w:val="Normal"/>
        <w:spacing w:lineRule="auto" w:line="240" w:before="0" w:after="200"/>
        <w:ind w:firstLine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«Создание условий для организации транспортного обслуживания населения»;</w:t>
      </w:r>
    </w:p>
    <w:p>
      <w:pPr>
        <w:pStyle w:val="Normal"/>
        <w:spacing w:lineRule="auto" w:line="240" w:before="0" w:after="200"/>
        <w:ind w:firstLine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«Содержание и ремонт автомобильных дорог Благовещенского сельского поселения».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 Благовещенского сельского поселения «Развитие жилищно-коммунального хозяйства Благовещенского сельского поселения».</w:t>
      </w:r>
      <w:r>
        <w:rPr>
          <w:rFonts w:cs="Times New Roman" w:ascii="Times New Roman" w:hAnsi="Times New Roman"/>
          <w:sz w:val="28"/>
          <w:szCs w:val="28"/>
        </w:rPr>
        <w:t xml:space="preserve"> Программа утверждена постановлением администрации Благовещенского сельского поселения от 05.11.2013 г. №83, постановлением администрации  от 01.11.2023 г. №67  в данную Программу внесены  изменения, утвердив расходные ассигнования на 2024 год в сумме 370 986,96 руб., на плановый период 2025г. – 463 988,0 руб., на 2026 год – 353 048,96 руб. Проектом бюджета установлен объем финансирования Программы в этих же размерах. Срок реализации данной программы – 2019-2026 гг.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Целями программы являются – повышение уровня комфортного проживания граждан на территории Благовещенского сельского поселения; активизация работ по благоустройству территории поселения в границах населенных пунктов, монтаж систем наружного освещения улиц населенных пунктов; создание комфортных условий жизнедеятельности населе; активизация участия граждан, проживающих в сельской местности в реализации общественно значимых проектов.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данной программе имеется одна подпрограмма: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«Содержание жилищно-коммунального хозяйства Благовещенского сельского поселения».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«Культура Благовещенского сельского поселения». </w:t>
      </w:r>
      <w:r>
        <w:rPr>
          <w:rFonts w:cs="Times New Roman" w:ascii="Times New Roman" w:hAnsi="Times New Roman"/>
          <w:sz w:val="28"/>
          <w:szCs w:val="28"/>
        </w:rPr>
        <w:t xml:space="preserve">Программа утверждена постановлением администрации Благовещенского сельского поселения от 05.11.2013г. №84, постановлением администрации Благовещенского сельского поселения от 01.11.2023г. № 68 в Программу внесены изменения утвердив бюджетные ассигнования на 2024 год – 1 576 387,0 руб., на 2025 год – 1 454 273,0 руб., 2026 г. - в сумме  1 454 273,0 руб. 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Проектом бюджета установлен объем финансирования Подпрограммы в этих же размерах. Срок реализации программы 2019-2026гг.</w:t>
        <w:br/>
        <w:t xml:space="preserve">     Целями программы являются – создание условий для повышения качества и разнообразия услуг, предоставляемых в сфере культуры; обеспечение сохранения и использования объектов культурного наследия; выравнивание доступа к услугам учреждений культуры, информации, культурным ценностям; создание условий для организации досуга, массового отдыха жителей поселения;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привлечение большего числа населения к участию в культурно-массовых мероприятиях; возрождение и пропаганда народных промыслов на территории поселения; создание благоприятных условий для развития и реализации имеющегося потенциала творческих сил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рамках данной программы имеется аналитическая подпрограмма: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«Социальная поддержка граждан Благовещенского сельского поселения» </w:t>
      </w:r>
      <w:r>
        <w:rPr>
          <w:rFonts w:cs="Times New Roman" w:ascii="Times New Roman" w:hAnsi="Times New Roman"/>
          <w:sz w:val="28"/>
          <w:szCs w:val="28"/>
        </w:rPr>
        <w:t>утверждена постановлением администрации Благовещенского сельского поселения от 05.11.2013 г. №85. В данную Программу постановлением администрации Благовещенского сельского поселения от 01.11.2023г. №69 на 2024-2026г.г. внесены изменения, утвердив сумму ассигнования на реализацию мероприятия Программы в сумме 144 000,0 руб. ежегодно. Проектом бюджета установлен аналогичный объем финансирования. Срок реализации программы 2019-2026гг.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Цель программы снижение социальной напряженности, улучшение социального положения, повышение качества жизни граждан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данной программе имеется одна аналитическая подпрограмма: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«Ежемесячные доплаты к трудовой пенсии по старости муниципальным служащим Благовещенского сельского поселения».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«Развитие физкультуры, массового спорта, работа с детьми и молодежью» </w:t>
      </w:r>
      <w:r>
        <w:rPr>
          <w:rFonts w:cs="Times New Roman" w:ascii="Times New Roman" w:hAnsi="Times New Roman"/>
          <w:sz w:val="28"/>
          <w:szCs w:val="28"/>
        </w:rPr>
        <w:t>утверждена постановлением администрации Благовещенского сельского поселения  от 22.11.2016г. №92. В данную Программу постановлением администрации Благовещенского сельского поселения от 01.11.2023г. №70 на 2024-2026г.г. внесены изменения, утвердив сумму ассигнования на реализацию мероприятия Программы в сумме 5 000,0 руб. ежегодно. Проектом бюджета установлен аналогичный объем финансирования. Программа разработана на  период 2019-2026 гг.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Цель программы – создание условий для развития физической культуры, массового спорта на территории Благовещенского сельского поселения. Сохранение и укрепление здоровья населения; приобщение различных слоев населения к регулярным занятиям спортом. Популяризация массового и профессионального спорта, организация досуга молодёжи.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Муниципальная программа Благовещенского сельского поселения «Развитие сельскохозяйственного производства, малого и среднего предпринимательства». </w:t>
      </w:r>
      <w:r>
        <w:rPr>
          <w:rFonts w:cs="Times New Roman" w:ascii="Times New Roman" w:hAnsi="Times New Roman"/>
          <w:sz w:val="28"/>
          <w:szCs w:val="28"/>
        </w:rPr>
        <w:t>Программа утверждена постановлением администрации Благовещенского сельского поселения от 22.11.2016 г. №93. В данную Программу постановлением администрации Благовещенского сельского поселения от 01.11.2023 г. №71 на 2024-2026г.г. внесены изменения, утвердив сумму ассигнования на реализацию мероприятия Программы в размере 20 000,0 руб. ежегодно. Проектом бюджета установлен аналогичный объем финансирования. Программа разработана на  период 2019-2026 гг.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Целями программы являются – развитие субъектов малого и среднего предпринимательства в целях формирования конкурентной среды в экономике поселения. Обеспечение благоприятных условий для развития субъектов малого и среднего предпринимательства. Обеспечение конкурентоспособности субъектов малого и среднего предпринимательства. Оказание содействия субъектам малого и среднего предпринимательства в продвижении их товаров (работ, услуг). Увеличение количества субъектов малого и среднего предпринимательства. Обеспечение занятости населения и развитие самозанятости. Увеличение объема производимых субъектами малого и среднего предпринимательства товаров. Увеличение доли налогов в налоговых доходах бюджетов всех уровней, уплаченных субъектами малого и среднего предпринимательства. Проведение кадастровых работ по образованию земельных участков сельскохозяйственного назначения, находящихся или относящихся к собственности Благовещенского сельского поселения.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 0100 «Общегосударственные расходы», на  2024 год  доля ассигнований составляет 47,9 ед., по сравнению с отчетным 2023 г.-32,3 ед., на плановый период 2025г. составляет 46,1 ед., 2026 года – 48,4 ед.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По разделу 0800 «Культура» на 2024г. доля ассигнований составляет 30,7 ед. от общего объема расходных обязательств. Согласно оценке ожидаемого исполнения бюджета в 2023г. удельный вес предполагается – 36,6 ед. , на плановый период 2025г. составляет 29,6 ед., 2026г.- 31,1 ед.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 разделу 0400 «Национальная экономика» удельный вес приходится на  2024 г. – 8,0 ед.  Согласно оценке ожидаемого исполнения бюджета в 2023г. удельный вес предполагается – 13,9 ед., на плановый период 2025г. – 8,3 ед., на 2026 год – 8,7 ед.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 разделу 0500 «Жилищно-коммунальное хозяйство» удельный вес согласно проекту бюджета  на  2024 г. прогнозируется в размере  7,2 ед.,   Для сравнения в 2023 г. данный раздел занимал  удельный вес от общего объема расходов 11,2 ед., на плановый период 2025г.- 9,4 ед., на 2026г.- 7,5 ед.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 разделу 0300 «Национальная безопасность и правоохранительная и правоохранительная деятельность» доля от общего объема расходных обязательств на  2024 год составляет 0,1 ед. Согласно оценке ожидаемого исполнения бюджета в 2023г. удельный вес предполагается 2,3 ед., на плановый период 2025г. составляет 1,0 ед., на 2026г.- 1,0 ед.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 разделу 1000 «Социальная политика» доля от общего объема расходных обязательств на  2024 год составляет 2,8 ед. Согласно оценке ожидаемого исполнения бюджета в 2023г. удельный вес предполагается 2,1 ед., на плановый период 2025г. составляет 2,9 ед., на 2026 г.- 3,1 ед.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 разделу 0200 «Национальная оборона» удельный вес приходится на 2024 г. – 2,3 ед. Согласно оценке ожидаемого исполнения бюджета в 2023г. удельный вес предполагается – 1,5 ед., на плановый период 2025г. – 2,5 ед., на 2026 год – средства не запланированы.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Наименьший удельный вес по разделу по разделу 1100 «Физическая культура и спорт» удельный вес приходится на 2024 год – 0,1 ед., на плановый период 2025г.- 0,1 ед., на 2026 год –0,1 ед. </w:t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0" w:bottom="708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Анализ бюджетных ассигнований в разрезе функциональной классификации за    отчетный период 2023 года в сравнении с 2024 годом и плановым периодом 2025-2026гг. приведен на рисунке № 1:  </w:t>
      </w:r>
    </w:p>
    <w:p>
      <w:pPr>
        <w:sectPr>
          <w:footerReference w:type="default" r:id="rId5"/>
          <w:type w:val="nextPage"/>
          <w:pgSz w:orient="landscape" w:w="16838" w:h="11906"/>
          <w:pgMar w:left="567" w:right="567" w:gutter="0" w:header="0" w:top="851" w:footer="0" w:bottom="709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/>
        <w:drawing>
          <wp:inline distT="0" distB="0" distL="0" distR="0">
            <wp:extent cx="9371330" cy="430466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Составление проекта бюджета основывается на социально-экономическом прогнозе Благовещенского сельского поселения (требования Положения о бюджетном процессе Благовещенского сельского поселения, утвержденного решением Совета Благовещенского сельского поселения  от 20.03.2014г.№ 2 в актуальной редакции). 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Проект решения о  бюджете на 2024 год и плановый период 2025-2026гг.  соответствует основным направлениям бюджетной и налоговой политики Благовещенского сельского поселения, утвержденными постановлением администрации Благовещенского сельского поселения от 01.11.2023 г. №61.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Дефицит бюджета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Согласно статье 1 проекта бюджета Благовещенского сельского поселения   дефицит  бюджета на 2024 год и плановый период 2025-2026гг. не прогнозируется</w:t>
      </w:r>
      <w:r>
        <w:rPr>
          <w:rFonts w:cs="Times New Roman" w:ascii="Times New Roman" w:hAnsi="Times New Roman"/>
          <w:i/>
          <w:sz w:val="28"/>
          <w:szCs w:val="28"/>
        </w:rPr>
        <w:t xml:space="preserve">.   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Условно утвержденные расходы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Объем условно утвержденных расходов в составе общего объема расходов бюджета на 2025 год утвержден в сумме 110 965,0 руб., что соответствует требованиям абзаца седьмого пункта 3 статьи 184.1 БК РФ , т.е. не менее 2,5 процента общего объема расходов бюджета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2026 год утверждено 221 930,0 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Резервный фонд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 проекте сельского бюджета на 2024г. и плановый период 2025-2026гг.   заложены средства резервного фонда сельского поселения  в сумме 10 000,0  руб. ежегодно.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Резервный фонд на 2024-2026гг. прогнозируется в проекте  бюджета  сельского поселения в соответствии с требованиями п. 3 ст.81 Бюджетного кодекса РФ, Положением о порядке расходования средств резервного фонда администрации Благовещенского сельского поселения, утвержденного  постановлением  администрации Благовещенского сельского поселения от 21.04.2020г.   № 22.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Муниципальные заимствования Благовещенского сельского поселения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Благовещенским сельским поселением в 2024-2026 годах не запланировано.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Муниципальные гарантии Благовещенского сельского поселения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Предоставление и исполнение муниципальных гарантий Благовещенским сельским поселением в 2024-2026 годах не запланировано.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Муниципальный долг Благовещенского сельского поселения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Предельный объем муниципального долга Благовещенского сельского поселения  на 2024 год и плановый период 2025 и 2026 годов запланировано в сумме 0,00 руб.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Верхний предел муниципального долга Благовещенского сельского поселения на 01 января 2025 года, на 01 января  2026 года и на 01 января 2027 года запланирован в сумме 0,00 руб.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Предельный объем расходов бюджета Благовещенского сельского поселения на обслуживание муниципального долга Благовещенского сельского поселения на 2024 год и на плановый период 2025 и 2026 годов запланирован в сумме 0,00 руб.</w:t>
      </w:r>
    </w:p>
    <w:p>
      <w:pPr>
        <w:pStyle w:val="Normal"/>
        <w:spacing w:lineRule="auto" w:line="240" w:before="0" w:after="200"/>
        <w:ind w:firstLine="708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Выводы и предложения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целом по результатам экспертизы проект решения «О бюджете Благовещенского сельского поселения на 2024 год и плановый период 2025 и 2026 годов» Контрольно-счетный орган Лухского муниципального района отмечает следующее: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Проект решения Совета Благовещенского сельского поселения «О бюджете Благовещенского сельского поселения на 2024 год и плановый период 2025 и 2026 годов»  подготовлен в соответствии с Бюджетным кодексом Российской Федерации, Положения о бюджетном процессе Благовещенского сельского поселения, иными нормативными правовыми актами, регулирующими вопросы бюджетного планирования и бюджетной деятельности;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Документы и материалы к проекту бюджета Благовещенского сельского поселения представлены в полном объеме по перечню, установленному ст.184.2 БК РФ и статьей 8 Положения о бюджетном процессе;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 Бюджет Благовещенского сельского поселения на 2024 год сформирован: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-по доходам в сумме 5 135 203,96 руб.,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расходам в сумме 5 135 203,96 руб.,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дефицит в сумме 0,00 руб.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Бюджет на 2025 и 2026 год сформирован: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доходам в сумме 5 028 603,96 руб. и 4 903 803,96 руб. соответственно.     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 уровню предыдущего года в 2024 году предполагается уменьшение доходов на 35,2%, в 2025 году – уменьшение на 2,0%; в 2026 году – уменьшение на 2,5%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расходам в сумме 5 028 603,96 руб. и 4 903 803,96 руб. соответственно.   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 уровню предыдущего года в 2024 году предполагается уменьшение доходов на 35,2%, в 2025 году – уменьшение на 2,0%; в 2026 году – уменьшение на 2,5%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   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4. Доходы бюджета поселения (без учета безвозмездных поступлений) планируются в следующих объемах: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на 2024 год – 120 395,96 руб.;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на 2025 год -  120 395,96 руб.;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на 2026год – 120 395,96 руб.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   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5. Объем безвозмездных поступлений в доход бюджета поселения составит: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2024 году – 5 014 808,0 руб., или 97,7 % в общем объеме доходов;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2025 году – 4 908 208,0 руб., или  97,6 %;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в 2025 году – 4 783 408,0 руб., или 97,5 %.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   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6.Доля расходов бюджета на финансирование мероприятий 8 муниципальных программ бюджета поселения в 2023 году  составляет  97,6</w:t>
      </w:r>
      <w:r>
        <w:rPr>
          <w:rFonts w:cs="Times New Roman" w:ascii="Times New Roman" w:hAnsi="Times New Roman"/>
          <w:sz w:val="28"/>
          <w:szCs w:val="28"/>
        </w:rPr>
        <w:t>%, на плановый период 2024 и 2025 годов 97,4% и 99,9%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от общего объема расходов бюджета, что подтверждает программно-целевой принцип формирования бюджета.   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   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Благовещенского сельского поселения.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Председатель  Контрольно – счетного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органа Лухского муниципального района:                                    О.П.Смирнова</w:t>
      </w:r>
    </w:p>
    <w:sectPr>
      <w:footerReference w:type="default" r:id="rId6"/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Общ"/>
        <w:docPartUnique w:val="true"/>
      </w:docPartObj>
      <w:id w:val="67382895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Общ"/>
        <w:docPartUnique w:val="true"/>
      </w:docPartObj>
      <w:id w:val="204519873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Общ"/>
        <w:docPartUnique w:val="true"/>
      </w:docPartObj>
      <w:id w:val="53062179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9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c419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1" w:customStyle="1">
    <w:name w:val="Font Style11"/>
    <w:qFormat/>
    <w:rsid w:val="00c41961"/>
    <w:rPr>
      <w:rFonts w:ascii="Times New Roman" w:hAnsi="Times New Roman" w:cs="Times New Roman"/>
      <w:b/>
      <w:bCs/>
      <w:sz w:val="22"/>
      <w:szCs w:val="22"/>
    </w:rPr>
  </w:style>
  <w:style w:type="character" w:styleId="NoSpacingChar" w:customStyle="1">
    <w:name w:val="No Spacing Char"/>
    <w:link w:val="11"/>
    <w:qFormat/>
    <w:locked/>
    <w:rsid w:val="00c41961"/>
    <w:rPr>
      <w:rFonts w:ascii="Calibri" w:hAnsi="Calibri" w:eastAsia="Times New Roman" w:cs="Times New Roman"/>
    </w:rPr>
  </w:style>
  <w:style w:type="character" w:styleId="Style15" w:customStyle="1">
    <w:name w:val="Без интервала Знак"/>
    <w:link w:val="NoSpacing"/>
    <w:qFormat/>
    <w:rsid w:val="00c419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qFormat/>
    <w:rsid w:val="00c419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c4196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semiHidden/>
    <w:qFormat/>
    <w:rsid w:val="00b95042"/>
    <w:rPr>
      <w:rFonts w:ascii="Calibri" w:hAnsi="Calibri" w:eastAsia="" w:eastAsiaTheme="minorEastAsia"/>
      <w:lang w:eastAsia="ru-RU"/>
    </w:rPr>
  </w:style>
  <w:style w:type="character" w:styleId="1" w:customStyle="1">
    <w:name w:val="Нижний колонтитул Знак1"/>
    <w:basedOn w:val="DefaultParagraphFont"/>
    <w:semiHidden/>
    <w:qFormat/>
    <w:rsid w:val="00b95042"/>
    <w:rPr>
      <w:rFonts w:ascii="Calibri" w:hAnsi="Calibri" w:eastAsia="" w:eastAsiaTheme="minorEastAsia"/>
      <w:lang w:eastAsia="ru-RU"/>
    </w:rPr>
  </w:style>
  <w:style w:type="paragraph" w:styleId="Style19" w:customStyle="1">
    <w:name w:val="Заголовок"/>
    <w:basedOn w:val="Normal"/>
    <w:next w:val="Style20"/>
    <w:qFormat/>
    <w:rsid w:val="00ea01b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Style16"/>
    <w:rsid w:val="00c419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rsid w:val="00ea01bb"/>
    <w:pPr/>
    <w:rPr>
      <w:rFonts w:cs="Arial"/>
    </w:rPr>
  </w:style>
  <w:style w:type="paragraph" w:styleId="Style22" w:customStyle="1">
    <w:name w:val="Caption"/>
    <w:basedOn w:val="Normal"/>
    <w:qFormat/>
    <w:rsid w:val="00ea01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ea01bb"/>
    <w:pPr>
      <w:suppressLineNumbers/>
    </w:pPr>
    <w:rPr>
      <w:rFonts w:cs="Arial"/>
    </w:rPr>
  </w:style>
  <w:style w:type="paragraph" w:styleId="Style24" w:customStyle="1">
    <w:name w:val="Колонтитул"/>
    <w:basedOn w:val="Normal"/>
    <w:qFormat/>
    <w:rsid w:val="00ea01bb"/>
    <w:pPr/>
    <w:rPr/>
  </w:style>
  <w:style w:type="paragraph" w:styleId="Style25">
    <w:name w:val="Footer"/>
    <w:basedOn w:val="Normal"/>
    <w:link w:val="1"/>
    <w:uiPriority w:val="99"/>
    <w:unhideWhenUsed/>
    <w:rsid w:val="00b950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4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c419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1" w:customStyle="1">
    <w:name w:val="Без интервала1"/>
    <w:link w:val="NoSpacingChar"/>
    <w:qFormat/>
    <w:rsid w:val="00c41961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ANX" w:customStyle="1">
    <w:name w:val="NormalANX"/>
    <w:basedOn w:val="Normal"/>
    <w:qFormat/>
    <w:rsid w:val="00c41961"/>
    <w:pPr>
      <w:spacing w:lineRule="auto" w:line="360" w:before="240" w:after="240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link w:val="Style15"/>
    <w:uiPriority w:val="1"/>
    <w:qFormat/>
    <w:rsid w:val="00c4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 w:customStyle="1">
    <w:name w:val="Стиль2"/>
    <w:basedOn w:val="Normal"/>
    <w:qFormat/>
    <w:rsid w:val="00c41961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c419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34b06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Содержимое таблицы"/>
    <w:basedOn w:val="Normal"/>
    <w:qFormat/>
    <w:rsid w:val="00b34b06"/>
    <w:pPr>
      <w:suppressLineNumbers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Title" w:customStyle="1">
    <w:name w:val="ConsPlusTitle"/>
    <w:uiPriority w:val="99"/>
    <w:qFormat/>
    <w:rsid w:val="00b1315f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Style27">
    <w:name w:val="Header"/>
    <w:basedOn w:val="Normal"/>
    <w:link w:val="Style18"/>
    <w:uiPriority w:val="99"/>
    <w:semiHidden/>
    <w:unhideWhenUsed/>
    <w:rsid w:val="00b950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chart" Target="charts/chart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spPr>
        <a:solidFill>
          <a:srgbClr val="c0c0c0"/>
        </a:solidFill>
        <a:ln w="12600">
          <a:solidFill>
            <a:srgbClr val="808080"/>
          </a:solidFill>
          <a:round/>
        </a:ln>
      </c:spPr>
    </c:sideWall>
    <c:backWall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1250625"/>
          <c:y val="0.0633333333333333"/>
          <c:w val="0.5253125"/>
          <c:h val="0.7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2563.1</c:v>
                </c:pt>
                <c:pt idx="1">
                  <c:v>2458.5</c:v>
                </c:pt>
                <c:pt idx="2">
                  <c:v>2265.9</c:v>
                </c:pt>
                <c:pt idx="3">
                  <c:v>2265.8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1098.2</c:v>
                </c:pt>
                <c:pt idx="1">
                  <c:v>409.7</c:v>
                </c:pt>
                <c:pt idx="2">
                  <c:v>409.7</c:v>
                </c:pt>
                <c:pt idx="3">
                  <c:v>409.7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жилищно-коммун. Хозяйство</c:v>
                </c:pt>
              </c:strCache>
            </c:strRef>
          </c:tx>
          <c:spPr>
            <a:solidFill>
              <a:srgbClr val="ffff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883.8</c:v>
                </c:pt>
                <c:pt idx="1">
                  <c:v>371</c:v>
                </c:pt>
                <c:pt idx="2">
                  <c:v>464</c:v>
                </c:pt>
                <c:pt idx="3">
                  <c:v>353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4"/>
                <c:pt idx="0">
                  <c:v>2896</c:v>
                </c:pt>
                <c:pt idx="1">
                  <c:v>1576.4</c:v>
                </c:pt>
                <c:pt idx="2">
                  <c:v>1454.3</c:v>
                </c:pt>
                <c:pt idx="3">
                  <c:v>1454.3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  национальная безопасность</c:v>
                </c:pt>
              </c:strCache>
            </c:strRef>
          </c:tx>
          <c:spPr>
            <a:solidFill>
              <a:srgbClr val="6600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4"/>
                <c:pt idx="0">
                  <c:v>180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 социальная политика</c:v>
                </c:pt>
              </c:strCache>
            </c:strRef>
          </c:tx>
          <c:spPr>
            <a:solidFill>
              <a:srgbClr val="ff808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4"/>
                <c:pt idx="0">
                  <c:v>180</c:v>
                </c:pt>
                <c:pt idx="1">
                  <c:v>144</c:v>
                </c:pt>
                <c:pt idx="2">
                  <c:v>144</c:v>
                </c:pt>
                <c:pt idx="3">
                  <c:v>144</c:v>
                </c:pt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 национальная оборона</c:v>
                </c:pt>
              </c:strCache>
            </c:strRef>
          </c:tx>
          <c:spPr>
            <a:solidFill>
              <a:srgbClr val="0066cc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4"/>
                <c:pt idx="0">
                  <c:v>115.4</c:v>
                </c:pt>
                <c:pt idx="1">
                  <c:v>120.6</c:v>
                </c:pt>
                <c:pt idx="2">
                  <c:v>124.8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label 7</c:f>
              <c:strCache>
                <c:ptCount val="1"/>
                <c:pt idx="0">
                  <c:v>Ряд8</c:v>
                </c:pt>
              </c:strCache>
            </c:strRef>
          </c:tx>
          <c:spPr>
            <a:solidFill>
              <a:srgbClr val="cccc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прог. 2023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7</c:f>
              <c:numCache>
                <c:formatCode>General</c:formatCode>
                <c:ptCount val="4"/>
              </c:numCache>
            </c:numRef>
          </c:val>
        </c:ser>
        <c:gapWidth val="150"/>
        <c:shape val="box"/>
        <c:axId val="23455216"/>
        <c:axId val="12435120"/>
        <c:axId val="0"/>
      </c:bar3DChart>
      <c:catAx>
        <c:axId val="2345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lang="en-US" sz="1950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12435120"/>
        <c:crosses val="autoZero"/>
        <c:auto val="1"/>
        <c:lblAlgn val="ctr"/>
        <c:lblOffset val="100"/>
        <c:noMultiLvlLbl val="0"/>
      </c:catAx>
      <c:valAx>
        <c:axId val="12435120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lang="en-US" sz="1950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2345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"/>
          <c:y val="0.00255555555555556"/>
          <c:w val="0.321895118444903"/>
          <c:h val="0.94166018446494"/>
        </c:manualLayout>
      </c:layout>
      <c:overlay val="0"/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lang="en-US" sz="1790" spc="-1" strike="noStrike">
              <a:solidFill>
                <a:srgbClr val="000000"/>
              </a:solidFill>
              <a:latin typeface="Arial Cyr"/>
              <a:ea typeface="Arial Cyr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086-F2AB-482E-AC2F-B762000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Application>LibreOffice/7.3.4.2$Windows_X86_64 LibreOffice_project/728fec16bd5f605073805c3c9e7c4212a0120dc5</Application>
  <AppVersion>15.0000</AppVersion>
  <Pages>11</Pages>
  <Words>4523</Words>
  <Characters>30764</Characters>
  <CharactersWithSpaces>35892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2020-11-26T09:20:00Z</dcterms:created>
  <dc:creator>Смирнова</dc:creator>
  <dc:description/>
  <dc:language>ru-RU</dc:language>
  <cp:lastModifiedBy>Смирнова</cp:lastModifiedBy>
  <cp:lastPrinted>2021-12-10T06:18:00Z</cp:lastPrinted>
  <dcterms:modified xsi:type="dcterms:W3CDTF">2023-11-29T07:39:00Z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