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p>
    <w:p>
      <w:pPr>
        <w:pStyle w:val="Normal"/>
        <w:jc w:val="center"/>
        <w:rPr/>
      </w:pPr>
      <w:r>
        <w:rPr>
          <w:rFonts w:cs="Times New Roman" w:ascii="Times New Roman" w:hAnsi="Times New Roman"/>
          <w:b/>
          <w:sz w:val="28"/>
          <w:szCs w:val="28"/>
        </w:rPr>
        <w:t>п.Лух                                                                                  «31» марта 2025 года</w:t>
      </w:r>
    </w:p>
    <w:p>
      <w:pPr>
        <w:pStyle w:val="Normal"/>
        <w:spacing w:lineRule="auto" w:line="240" w:before="0" w:after="200"/>
        <w:contextualSpacing/>
        <w:jc w:val="center"/>
        <w:rPr/>
      </w:pPr>
      <w:r>
        <w:rPr>
          <w:rFonts w:cs="Times New Roman" w:ascii="Times New Roman" w:hAnsi="Times New Roman"/>
          <w:b/>
          <w:sz w:val="28"/>
          <w:szCs w:val="28"/>
        </w:rPr>
        <w:t>ЗАКЛЮЧЕНИЕ № 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center"/>
        <w:rPr/>
      </w:pPr>
      <w:r>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2024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на 2025 год от 23.12.2024г. и распоряжения Председателя Контрольно-счетного органа Лухского муниципального района от 20.03.2025г.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b/>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xml:space="preserve"> бюджетная отчетность за 2024 год (далее – годовая бюджетная отчетность).</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xml:space="preserve"> Контрольно-счетный орган  Лухского муниципального района Ивановской области (далее – КСО).</w:t>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xml:space="preserve">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b/>
          <w:b/>
        </w:rPr>
      </w:pPr>
      <w:r>
        <w:rPr>
          <w:rFonts w:cs="Times New Roman" w:ascii="Times New Roman" w:hAnsi="Times New Roman"/>
          <w:b/>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Председатель КСО – Смирнова Ольга Павловна;</w:t>
      </w:r>
    </w:p>
    <w:p>
      <w:pPr>
        <w:pStyle w:val="Normal"/>
        <w:spacing w:lineRule="auto" w:line="240" w:before="0" w:after="200"/>
        <w:contextualSpacing/>
        <w:jc w:val="both"/>
        <w:rPr/>
      </w:pPr>
      <w:r>
        <w:rPr>
          <w:rFonts w:cs="Times New Roman" w:ascii="Times New Roman" w:hAnsi="Times New Roman"/>
          <w:sz w:val="28"/>
          <w:szCs w:val="28"/>
        </w:rPr>
        <w:t>- старший  бухгалтер  КСО– Пухова Татьяна Леонидовна.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xml:space="preserve"> с 20.03.2025г. по 31.03.2025г</w:t>
      </w:r>
      <w:r>
        <w:rPr>
          <w:rFonts w:cs="Times New Roman" w:ascii="Times New Roman" w:hAnsi="Times New Roman"/>
          <w:color w:val="FF0000"/>
          <w:sz w:val="28"/>
          <w:szCs w:val="28"/>
        </w:rPr>
        <w:t>.</w:t>
      </w:r>
    </w:p>
    <w:p>
      <w:pPr>
        <w:pStyle w:val="Normal"/>
        <w:spacing w:lineRule="auto" w:line="240" w:before="0" w:after="200"/>
        <w:contextualSpacing/>
        <w:jc w:val="center"/>
        <w:rPr/>
      </w:pPr>
      <w:r>
        <w:rPr>
          <w:rFonts w:cs="Times New Roman" w:ascii="Times New Roman" w:hAnsi="Times New Roman"/>
          <w:b/>
          <w:sz w:val="28"/>
          <w:szCs w:val="28"/>
        </w:rPr>
        <w:t>1.ОБЩИЕ СВЕДЕНИЯ</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КСО является представительным органом местного самоуправления Лухского муниципального района и обладает правами юридического лица.</w:t>
      </w:r>
    </w:p>
    <w:p>
      <w:pPr>
        <w:pStyle w:val="Normal"/>
        <w:spacing w:lineRule="auto" w:line="240" w:before="0" w:after="200"/>
        <w:contextualSpacing/>
        <w:jc w:val="both"/>
        <w:rPr/>
      </w:pPr>
      <w:r>
        <w:rPr>
          <w:rFonts w:cs="Times New Roman" w:ascii="Times New Roman" w:hAnsi="Times New Roman"/>
          <w:sz w:val="28"/>
          <w:szCs w:val="28"/>
        </w:rPr>
        <w:t>Решением Совета Лухского муниципального района от 27.12.2023г. № 49 «О районном бюджете на 2024 год и плановый период 2025 и 2026 годов» Совет определен главным администратором, администратором доходов, главным распорядителем, распорядителем, получателем средств бюджета Лухского муниципального района, которому присвоен код главы по бюджетной классификации – 124.</w:t>
      </w:r>
    </w:p>
    <w:p>
      <w:pPr>
        <w:pStyle w:val="Normal"/>
        <w:spacing w:lineRule="auto" w:line="240" w:before="0" w:after="200"/>
        <w:contextualSpacing/>
        <w:jc w:val="center"/>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с соблюдением срока, установленного Порядком проведения внешней проверки годового отчета об исполнении бюджета Лухского муниципального района, утвержденного решением Совета Лухского муниципального района от 28.03.2024г. №12.</w:t>
      </w:r>
    </w:p>
    <w:p>
      <w:pPr>
        <w:pStyle w:val="Normal"/>
        <w:spacing w:lineRule="auto" w:line="240" w:before="0" w:after="200"/>
        <w:contextualSpacing/>
        <w:jc w:val="center"/>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pPr>
      <w:r>
        <w:rPr>
          <w:rFonts w:cs="Times New Roman" w:ascii="Times New Roman" w:hAnsi="Times New Roman"/>
          <w:color w:val="FF0000"/>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pP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pP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pP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проведении инвентаризаций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pP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pP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pP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pPr>
      <w:r>
        <w:rPr>
          <w:rFonts w:cs="Times New Roman" w:ascii="Times New Roman" w:hAnsi="Times New Roman"/>
          <w:sz w:val="28"/>
          <w:szCs w:val="28"/>
        </w:rPr>
        <w:t>- отчет об исполнении бюджета по национальным проектам (ф.0503117-НП);</w:t>
      </w:r>
    </w:p>
    <w:p>
      <w:pPr>
        <w:pStyle w:val="Normal"/>
        <w:spacing w:lineRule="auto" w:line="240" w:before="0" w:after="200"/>
        <w:contextualSpacing/>
        <w:jc w:val="both"/>
        <w:rPr/>
      </w:pP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pPr>
      <w:r>
        <w:rPr>
          <w:rFonts w:cs="Times New Roman" w:ascii="Times New Roman" w:hAnsi="Times New Roman"/>
          <w:sz w:val="28"/>
          <w:szCs w:val="28"/>
        </w:rPr>
        <w:t>- справка по консолидируемым расчетам (ф.0503125);</w:t>
      </w:r>
    </w:p>
    <w:p>
      <w:pPr>
        <w:pStyle w:val="Normal"/>
        <w:spacing w:lineRule="auto" w:line="240" w:before="0" w:after="200"/>
        <w:contextualSpacing/>
        <w:jc w:val="both"/>
        <w:rPr/>
      </w:pP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pP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pP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pP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pP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pPr>
      <w:r>
        <w:rPr>
          <w:rFonts w:cs="Times New Roman" w:ascii="Times New Roman" w:hAnsi="Times New Roman"/>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pP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pP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pPr>
      <w:r>
        <w:rPr>
          <w:rFonts w:cs="Times New Roman" w:ascii="Times New Roman" w:hAnsi="Times New Roman"/>
          <w:sz w:val="28"/>
          <w:szCs w:val="28"/>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направлении деятельности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анализ показателей отчетности субъекта бюджетной отчетности (таблица №14);</w:t>
      </w:r>
    </w:p>
    <w:p>
      <w:pPr>
        <w:pStyle w:val="Normal"/>
        <w:spacing w:lineRule="auto" w:line="240" w:before="0" w:after="200"/>
        <w:contextualSpacing/>
        <w:jc w:val="both"/>
        <w:rPr/>
      </w:pPr>
      <w:r>
        <w:rPr>
          <w:rFonts w:cs="Times New Roman" w:ascii="Times New Roman" w:hAnsi="Times New Roman"/>
          <w:sz w:val="28"/>
          <w:szCs w:val="28"/>
        </w:rPr>
        <w:t>- причины увеличения просроченной задолженности (таблица №15).</w:t>
      </w:r>
    </w:p>
    <w:p>
      <w:pPr>
        <w:pStyle w:val="Normal"/>
        <w:spacing w:lineRule="auto" w:line="240" w:before="0" w:after="200"/>
        <w:contextualSpacing/>
        <w:jc w:val="center"/>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содержатся показатели по бюджетной деятельности, по деятельности со средствами, поступающими во временное распоряжение,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0503130 отражены изменения остатков по счетам бюджетного учета, произошедшие у КСО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Нефинансовые активы у КСО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Финансовые активы у КСО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КСО на конец отчетного периода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КСО составил 0,00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Остатки имущества и обязательств КСО на забалансовых счетах составили 13 096,00 руб. Остатки имущества и обязательств сложились из основных средств в эксплуатации в сумме 13 096,00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КСО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КСО дебетовые обороты сложились в сумме 1 892 213,01 руб., а кредитовые обороты в сумме 1 892 274,25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КСО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КСО отсутствовали.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Расходы КСО исполнены в сумме  1 892 274,25 руб., что составило 99,97% по отношению к утвержденным бюджетным назначениям расходов и лимитам бюджетных обязательств КСО (1 892 868,91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КСО сложился в сумме 1 892 274,25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КСО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КСО приняты бюджетные обязательства текущего (отчетного) финансового года по расходам в сумме 1 892 274,25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КСО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Обязательства финансовых годов, следующих за текущим (отчетным) финансовым годом КСО не принимались.</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КСО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1. Поступления у КСО отсутствовали.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2. Расходы  КСО  составили 1 892 213,01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расходов на оплату труда и начисления на выплаты по оплате труда в сумме 1 832 916,66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расходов на оплату работ, услуг в сумме 2 823,00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расходов на социальное обеспечение в сумме 14 344,50 руб.;</w:t>
      </w:r>
    </w:p>
    <w:p>
      <w:pPr>
        <w:pStyle w:val="Normal"/>
        <w:spacing w:lineRule="auto" w:line="240" w:before="0" w:after="200"/>
        <w:contextualSpacing/>
        <w:jc w:val="both"/>
        <w:rPr/>
      </w:pPr>
      <w:r>
        <w:rPr>
          <w:rFonts w:cs="Times New Roman" w:ascii="Times New Roman" w:hAnsi="Times New Roman"/>
          <w:sz w:val="28"/>
          <w:szCs w:val="28"/>
        </w:rPr>
        <w:t>- расходов по операциям с активами в сумме 42 128,85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деятельности КСО составил 1 892 213,01 руб. со знаком «минус» и сложился за счет операций с финансовыми активами и обязательствами на сумму 1 892 213,01  руб. со знаком «минус».</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КСО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1. Поступления у КСО  отсутствовали.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2. Выбытия КСО  составили 1 892 274,25 руб. и сложились за счет:</w:t>
      </w:r>
    </w:p>
    <w:p>
      <w:pPr>
        <w:pStyle w:val="Normal"/>
        <w:spacing w:lineRule="auto" w:line="240" w:before="0" w:after="200"/>
        <w:contextualSpacing/>
        <w:jc w:val="both"/>
        <w:rPr/>
      </w:pPr>
      <w:r>
        <w:rPr>
          <w:rFonts w:cs="Times New Roman" w:ascii="Times New Roman" w:hAnsi="Times New Roman"/>
          <w:sz w:val="28"/>
          <w:szCs w:val="28"/>
        </w:rPr>
        <w:t>- выбытий по текущим операциям в сумме 1 856 274,25 руб. и по инвестиционным операциям в сумме 36 000,00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выбытий на оплату труда и начислений на выплаты по оплате труда в сумме 1 832 977,90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выбытий на оплату работ, услуг в сумме 2 823,00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выбытий на социальное обеспечение в сумме 14 344,50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выбытий на приобретение товаров и материальных запасов в сумме 6 128,85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w:t>
      </w:r>
    </w:p>
    <w:p>
      <w:pPr>
        <w:pStyle w:val="Normal"/>
        <w:spacing w:lineRule="auto" w:line="240" w:before="0" w:after="200"/>
        <w:contextualSpacing/>
        <w:jc w:val="both"/>
        <w:rPr/>
      </w:pPr>
      <w:r>
        <w:rPr>
          <w:rFonts w:cs="Times New Roman" w:ascii="Times New Roman" w:hAnsi="Times New Roman"/>
          <w:sz w:val="28"/>
          <w:szCs w:val="28"/>
        </w:rPr>
        <w:t>- выбытия на приобретение нефинансовых активов в сумме 36 000,00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КСО  составило  1 892 274,25 руб. и сложилось за счет:</w:t>
      </w:r>
    </w:p>
    <w:p>
      <w:pPr>
        <w:pStyle w:val="Normal"/>
        <w:spacing w:lineRule="auto" w:line="240" w:before="0" w:after="200"/>
        <w:contextualSpacing/>
        <w:jc w:val="both"/>
        <w:rPr/>
      </w:pPr>
      <w:r>
        <w:rPr>
          <w:rFonts w:cs="Times New Roman" w:ascii="Times New Roman" w:hAnsi="Times New Roman"/>
          <w:sz w:val="28"/>
          <w:szCs w:val="28"/>
        </w:rPr>
        <w:t>- изменений остатков средств  в сумме 1 892 274,25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0503160 отражена информация об объекте годовой бюджетной отчетности, о проведении им плановой инвентаризации перед составлением годовой бюджетной отчетности и перечень форм, не включенных в состав годовой бюджетной отчетности.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КСО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Текстовые статьи решения Совета Лухского муниципального района от   от 27.12.2023г. №49 «О районном бюджете на 2024 год и плановый период 2025 и 2026 годов»  КСО исполнены на 99,97%.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КСО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Доходы не поступали, так как доходные источники у КСО отсутствовали.</w:t>
      </w:r>
    </w:p>
    <w:p>
      <w:pPr>
        <w:pStyle w:val="Normal"/>
        <w:spacing w:lineRule="auto" w:line="240" w:before="0" w:after="200"/>
        <w:contextualSpacing/>
        <w:jc w:val="both"/>
        <w:rPr/>
      </w:pPr>
      <w:r>
        <w:rPr>
          <w:rFonts w:cs="Times New Roman" w:ascii="Times New Roman" w:hAnsi="Times New Roman"/>
          <w:sz w:val="28"/>
          <w:szCs w:val="28"/>
        </w:rPr>
        <w:t>Расходы КСО исполнены в сумме 1 892 274,25 руб., что ниже  утвержденных бюджетных назначений расходов КСО  на сумму 594,66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Результат исполнения бюджета КСО сложился в сумме 1 892 274,25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отражены сведения о движении нефинансовых активов КСО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КСО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 поступления основных средств на сумму 36 000,00 руб. и выбытия основных средств на сумму 36 000,00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поступления материальных запасов на сумму 6 128,85 руб. и выбытия материальных запасов на сумму 6 128,85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КСО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КСО отсутствовала.</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КСО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КСО отсутствовала.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КСО,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№11 отражены сведения об организационной структуре КСО.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№12 отражены сведения о результатах деятельности КСО, в том числе о техническом состоянии, эффективности использования, обеспеченности основными фондами, основных мероприятиях по улучшению состояния и сохранности основных средств. По данным таблицы основные средства у КСО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№16 отражается иная информация, оказавшая существенное влияние на результаты деятельности КСО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КСО проведена годовая инвентаризация, по итогам которой фактическое наличие объектов инвентаризации соответствует данным регистров бюджетного учета.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исполнительным документам отсутствует.</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Отражен перечень форм отчетности, не включенных в состав бюджетной отчетности за отчетный период ввиду отсутствия числовых значений показателей.</w:t>
      </w:r>
    </w:p>
    <w:p>
      <w:pPr>
        <w:pStyle w:val="Normal"/>
        <w:spacing w:lineRule="auto" w:line="240" w:before="0" w:after="200"/>
        <w:contextualSpacing/>
        <w:jc w:val="center"/>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27.12.2023г. № 49 «О районном бюджете на 2024 год и плановый период 2025 и 2026 годов»  (в актуальной редакции) (далее – Решение о бюджете), сводной бюджетной росписью бюджета Лухского муниципального района на 2024 год и плановый период 2025 и  2026 годов с изменениями по состоянию на 31.12.2024г. (далее – сводная бюджетная роспись) , с показателями «Отчета по поступлениям и выбытиям) (ф.0503151) по состоянию на 01.01.2025г. (далее – Отчет по поступлениям и выбытиям).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31.12.2024г.) отраженного в форме 0503127  (графа 4), с показателями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31.12.2024г.), отраженного в форме 0503127  (графа 9), с показателями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31.12.2024г.),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31.12.2024г.), отраженного в форме 0503164 (графа 3), с показателем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31.12.2024г.), отраженного в форме 0503164  (графа 5), с показателем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КСО по состоянию на 01.01.2025г. и результаты финансово-хозяйственной деятельности за период с 01.01.2024 года по 31.12.2024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pPr>
      <w:r>
        <w:rPr>
          <w:rFonts w:cs="Times New Roman" w:ascii="Times New Roman" w:hAnsi="Times New Roman"/>
          <w:sz w:val="28"/>
          <w:szCs w:val="28"/>
        </w:rPr>
        <w:t>С заключением ознакомлены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Председатель Контрольно-счетного органа </w:t>
      </w:r>
    </w:p>
    <w:p>
      <w:pPr>
        <w:pStyle w:val="Normal"/>
        <w:spacing w:lineRule="auto" w:line="240" w:before="0" w:after="200"/>
        <w:contextualSpacing/>
        <w:jc w:val="both"/>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pPr>
      <w:r>
        <w:rPr>
          <w:rFonts w:cs="Times New Roman" w:ascii="Times New Roman" w:hAnsi="Times New Roman"/>
          <w:sz w:val="28"/>
          <w:szCs w:val="28"/>
        </w:rPr>
        <w:t>«____»___________2025г.</w:t>
      </w:r>
    </w:p>
    <w:p>
      <w:pPr>
        <w:pStyle w:val="Normal"/>
        <w:spacing w:lineRule="auto" w:line="240" w:before="0" w:after="200"/>
        <w:contextualSpacing/>
        <w:jc w:val="both"/>
        <w:rPr/>
      </w:pPr>
      <w:r>
        <w:rPr>
          <w:rFonts w:cs="Times New Roman" w:ascii="Times New Roman" w:hAnsi="Times New Roman"/>
          <w:sz w:val="28"/>
          <w:szCs w:val="28"/>
        </w:rPr>
        <w:t>Старший бухгалтер КСО :                                                                Т.Л.Пухова</w:t>
      </w:r>
    </w:p>
    <w:p>
      <w:pPr>
        <w:pStyle w:val="Normal"/>
        <w:spacing w:lineRule="auto" w:line="240" w:before="0" w:after="200"/>
        <w:contextualSpacing/>
        <w:jc w:val="both"/>
        <w:rPr/>
      </w:pPr>
      <w:r>
        <w:rPr>
          <w:rFonts w:cs="Times New Roman" w:ascii="Times New Roman" w:hAnsi="Times New Roman"/>
          <w:sz w:val="28"/>
          <w:szCs w:val="28"/>
        </w:rPr>
        <w:t>«____»</w:t>
      </w:r>
      <w:r>
        <w:rPr>
          <w:rFonts w:cs="Times New Roman" w:ascii="Times New Roman" w:hAnsi="Times New Roman"/>
          <w:sz w:val="28"/>
          <w:szCs w:val="28"/>
          <w:lang w:val="en-US"/>
        </w:rPr>
        <w:t>_________202</w:t>
      </w:r>
      <w:r>
        <w:rPr>
          <w:rFonts w:cs="Times New Roman" w:ascii="Times New Roman" w:hAnsi="Times New Roman"/>
          <w:sz w:val="28"/>
          <w:szCs w:val="28"/>
        </w:rPr>
        <w:t>5</w:t>
      </w:r>
      <w:r>
        <w:rPr>
          <w:rFonts w:cs="Times New Roman" w:ascii="Times New Roman" w:hAnsi="Times New Roman"/>
          <w:sz w:val="28"/>
          <w:szCs w:val="28"/>
          <w:lang w:val="en-US"/>
        </w:rPr>
        <w:t>г</w:t>
      </w:r>
      <w:r>
        <w:rPr>
          <w:rFonts w:cs="Times New Roman" w:ascii="Times New Roman" w:hAnsi="Times New Roman"/>
          <w:sz w:val="28"/>
          <w:szCs w:val="28"/>
        </w:rPr>
        <w:t xml:space="preserve">.    </w:t>
      </w:r>
    </w:p>
    <w:sectPr>
      <w:footerReference w:type="default" r:id="rId3"/>
      <w:type w:val="nextPage"/>
      <w:pgSz w:w="11906" w:h="16838"/>
      <w:pgMar w:left="1701" w:right="850" w:gutter="0" w:header="0" w:top="1134" w:footer="0" w:bottom="70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fldChar w:fldCharType="begin"/>
    </w:r>
    <w:r>
      <w:rPr/>
    </w:r>
    <w:r>
      <w:rPr/>
    </w:r>
    <w:r>
      <w:rPr/>
      <w:fldChar w:fldCharType="separate"/>
    </w:r>
    <w:r>
      <w:rPr/>
    </w:r>
    <w:r>
      <w:rPr/>
    </w:r>
    <w:r>
      <w:rPr/>
      <w:fldChar w:fldCharType="end"/>
    </w:r>
    <w:sdt>
      <w:sdtPr>
        <w:id w:val="1264471765"/>
      </w:sdtPr>
      <w:sdtContent>
        <w:r>
          <w:rPr/>
          <w:t xml:space="preserve"> PAGE   \* MERGEFORMAT 8</w:t>
        </w:r>
      </w:sdtContent>
    </w:sdt>
  </w:p>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3a1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181395"/>
    <w:rPr>
      <w:rFonts w:ascii="Tahoma" w:hAnsi="Tahoma" w:cs="Tahoma"/>
      <w:sz w:val="16"/>
      <w:szCs w:val="16"/>
    </w:rPr>
  </w:style>
  <w:style w:type="character" w:styleId="Style15" w:customStyle="1">
    <w:name w:val="Верхний колонтитул Знак"/>
    <w:basedOn w:val="DefaultParagraphFont"/>
    <w:uiPriority w:val="99"/>
    <w:semiHidden/>
    <w:qFormat/>
    <w:rsid w:val="00b20e3b"/>
    <w:rPr/>
  </w:style>
  <w:style w:type="character" w:styleId="Style16" w:customStyle="1">
    <w:name w:val="Нижний колонтитул Знак"/>
    <w:basedOn w:val="DefaultParagraphFont"/>
    <w:uiPriority w:val="99"/>
    <w:qFormat/>
    <w:rsid w:val="00b20e3b"/>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181395"/>
    <w:pPr>
      <w:suppressAutoHyphens w:val="true"/>
      <w:spacing w:before="0" w:after="200"/>
      <w:ind w:left="720" w:hanging="0"/>
      <w:contextualSpacing/>
    </w:pPr>
    <w:rPr/>
  </w:style>
  <w:style w:type="paragraph" w:styleId="BalloonText">
    <w:name w:val="Balloon Text"/>
    <w:basedOn w:val="Normal"/>
    <w:link w:val="Style14"/>
    <w:uiPriority w:val="99"/>
    <w:semiHidden/>
    <w:unhideWhenUsed/>
    <w:qFormat/>
    <w:rsid w:val="00181395"/>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b20e3b"/>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b20e3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2A06-FA96-4941-92AF-7E1AF6D6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Application>LibreOffice/7.3.4.2$Windows_X86_64 LibreOffice_project/728fec16bd5f605073805c3c9e7c4212a0120dc5</Application>
  <AppVersion>15.0000</AppVersion>
  <Pages>8</Pages>
  <Words>2414</Words>
  <Characters>16884</Characters>
  <CharactersWithSpaces>19850</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2024-05-27T13:59:00Z</dcterms:created>
  <dc:creator>Смирнова</dc:creator>
  <dc:description/>
  <dc:language>ru-RU</dc:language>
  <cp:lastModifiedBy>Смирнова</cp:lastModifiedBy>
  <cp:lastPrinted>2025-04-28T09:53:00Z</cp:lastPrinted>
  <dcterms:modified xsi:type="dcterms:W3CDTF">2025-04-28T09:53:00Z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