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200"/>
        <w:contextualSpacing/>
        <w:jc w:val="center"/>
        <w:rPr>
          <w:rFonts w:ascii="Times New Roman" w:hAnsi="Times New Roman" w:cs="Times New Roman"/>
          <w:sz w:val="24"/>
          <w:szCs w:val="24"/>
        </w:rPr>
      </w:pPr>
      <w:r>
        <w:rPr/>
        <w:drawing>
          <wp:inline distT="0" distB="0" distL="0" distR="0">
            <wp:extent cx="581025" cy="733425"/>
            <wp:effectExtent l="0" t="0" r="0" b="0"/>
            <wp:docPr id="1" name="Рисунок 1" descr="Лух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Лухский р-н (герб)"/>
                    <pic:cNvPicPr>
                      <a:picLocks noChangeAspect="1" noChangeArrowheads="1"/>
                    </pic:cNvPicPr>
                  </pic:nvPicPr>
                  <pic:blipFill>
                    <a:blip r:embed="rId2"/>
                    <a:stretch>
                      <a:fillRect/>
                    </a:stretch>
                  </pic:blipFill>
                  <pic:spPr bwMode="auto">
                    <a:xfrm>
                      <a:off x="0" y="0"/>
                      <a:ext cx="581025" cy="733425"/>
                    </a:xfrm>
                    <a:prstGeom prst="rect">
                      <a:avLst/>
                    </a:prstGeom>
                  </pic:spPr>
                </pic:pic>
              </a:graphicData>
            </a:graphic>
          </wp:inline>
        </w:drawing>
      </w:r>
      <w:r>
        <w:rPr>
          <w:rFonts w:cs="Times New Roman" w:ascii="Times New Roman" w:hAnsi="Times New Roman"/>
          <w:sz w:val="24"/>
          <w:szCs w:val="24"/>
        </w:rPr>
        <w:tab/>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КОНТРОЛЬНО-СЧЕТНЫЙ ОРГАН </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ЛУХСКОГО МУНИЦИПАЛЬНОГО РАЙОНА</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ИВАНОВСКОЙ ОБЛАСТИ</w:t>
      </w:r>
    </w:p>
    <w:p>
      <w:pPr>
        <w:pStyle w:val="Normal"/>
        <w:spacing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____________________________________________________________</w:t>
      </w:r>
    </w:p>
    <w:p>
      <w:pPr>
        <w:pStyle w:val="Normal"/>
        <w:spacing w:before="0" w:after="200"/>
        <w:contextualSpacing/>
        <w:jc w:val="center"/>
        <w:rPr>
          <w:rFonts w:ascii="Times New Roman" w:hAnsi="Times New Roman" w:cs="Times New Roman"/>
          <w:b/>
          <w:b/>
        </w:rPr>
      </w:pPr>
      <w:r>
        <w:rPr>
          <w:rFonts w:cs="Times New Roman" w:ascii="Times New Roman" w:hAnsi="Times New Roman"/>
          <w:b/>
        </w:rPr>
        <w:t xml:space="preserve">155270, Ивановская область, п.Лух, ул.Октябрьская,д.4., тел. 8(49344) 2-12-61 </w:t>
      </w:r>
    </w:p>
    <w:p>
      <w:pPr>
        <w:pStyle w:val="Normal"/>
        <w:spacing w:before="0" w:after="200"/>
        <w:contextualSpacing/>
        <w:jc w:val="center"/>
        <w:rPr>
          <w:rFonts w:ascii="Times New Roman" w:hAnsi="Times New Roman" w:cs="Times New Roman"/>
          <w:b/>
          <w:b/>
        </w:rPr>
      </w:pPr>
      <w:r>
        <w:rPr>
          <w:rFonts w:cs="Times New Roman" w:ascii="Times New Roman" w:hAnsi="Times New Roman"/>
          <w:b/>
          <w:lang w:val="en-US"/>
        </w:rPr>
        <w:t>E</w:t>
      </w:r>
      <w:r>
        <w:rPr>
          <w:rFonts w:cs="Times New Roman" w:ascii="Times New Roman" w:hAnsi="Times New Roman"/>
          <w:b/>
        </w:rPr>
        <w:t>-</w:t>
      </w:r>
      <w:r>
        <w:rPr>
          <w:rFonts w:cs="Times New Roman" w:ascii="Times New Roman" w:hAnsi="Times New Roman"/>
          <w:b/>
          <w:lang w:val="en-US"/>
        </w:rPr>
        <w:t>mail</w:t>
      </w:r>
      <w:r>
        <w:rPr>
          <w:rFonts w:cs="Times New Roman" w:ascii="Times New Roman" w:hAnsi="Times New Roman"/>
          <w:b/>
        </w:rPr>
        <w:t>:</w:t>
      </w:r>
      <w:r>
        <w:rPr>
          <w:rFonts w:cs="Times New Roman" w:ascii="Times New Roman" w:hAnsi="Times New Roman"/>
          <w:b/>
          <w:lang w:val="en-US"/>
        </w:rPr>
        <w:t>luhKSO</w:t>
      </w:r>
      <w:r>
        <w:rPr>
          <w:rFonts w:cs="Times New Roman" w:ascii="Times New Roman" w:hAnsi="Times New Roman"/>
          <w:b/>
        </w:rPr>
        <w:t>@</w:t>
      </w:r>
      <w:r>
        <w:rPr>
          <w:rFonts w:cs="Times New Roman" w:ascii="Times New Roman" w:hAnsi="Times New Roman"/>
          <w:b/>
          <w:lang w:val="en-US"/>
        </w:rPr>
        <w:t>yandex</w:t>
      </w:r>
      <w:r>
        <w:rPr>
          <w:rFonts w:cs="Times New Roman" w:ascii="Times New Roman" w:hAnsi="Times New Roman"/>
          <w:b/>
        </w:rPr>
        <w:t>.</w:t>
      </w:r>
      <w:r>
        <w:rPr>
          <w:rFonts w:cs="Times New Roman" w:ascii="Times New Roman" w:hAnsi="Times New Roman"/>
          <w:b/>
          <w:lang w:val="en-US"/>
        </w:rPr>
        <w:t>ru</w:t>
      </w:r>
      <w:r>
        <w:rPr>
          <w:rFonts w:cs="Times New Roman" w:ascii="Times New Roman" w:hAnsi="Times New Roman"/>
          <w:b/>
        </w:rPr>
        <w:t xml:space="preserve">       </w:t>
      </w:r>
    </w:p>
    <w:p>
      <w:pPr>
        <w:pStyle w:val="Normal"/>
        <w:jc w:val="both"/>
        <w:rPr>
          <w:rFonts w:ascii="Times New Roman" w:hAnsi="Times New Roman" w:cs="Times New Roman"/>
          <w:b/>
          <w:b/>
          <w:sz w:val="28"/>
          <w:szCs w:val="28"/>
        </w:rPr>
      </w:pPr>
      <w:r>
        <w:rPr>
          <w:rFonts w:cs="Times New Roman" w:ascii="Times New Roman" w:hAnsi="Times New Roman"/>
          <w:b/>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п.Лух                                                                                  «31»марта 2025года</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ЗАКЛЮЧЕНИЕ № 10</w:t>
      </w:r>
    </w:p>
    <w:p>
      <w:pPr>
        <w:pStyle w:val="Normal"/>
        <w:jc w:val="center"/>
        <w:rPr>
          <w:rFonts w:ascii="Times New Roman" w:hAnsi="Times New Roman" w:cs="Times New Roman"/>
          <w:b/>
          <w:b/>
          <w:sz w:val="28"/>
          <w:szCs w:val="28"/>
        </w:rPr>
      </w:pPr>
      <w:r>
        <w:rPr>
          <w:rFonts w:cs="Times New Roman" w:ascii="Times New Roman" w:hAnsi="Times New Roman"/>
          <w:b/>
          <w:sz w:val="28"/>
          <w:szCs w:val="28"/>
        </w:rPr>
        <w:t>по результатам проведения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2024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Экспертно-аналитическое мероприятие «Внешняя проверка бюджетной отчетности главных администраторов бюджетных средств Лухского муниципального района за 2024 год» (далее по тексту – экспертно-аналитическое мероприятие) проведено Контрольно-счетным органом Лухского муниципального района на основании плана деятельности Контрольно-счетного органа Лухского муниципального района от 23.12.2024г. и распоряжения Председателя Контрольно-счетного органа Лухского муниципального района от 20.03.2025г. №9 «О проведении экспертно-аналитического мероприятия «Внешняя проверка бюджетной отчетности главных администраторов бюджетных средств Лухского муниципального района за 2024 год».</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Предмет экспертно-аналитического мероприятия:</w:t>
      </w:r>
      <w:r>
        <w:rPr>
          <w:rFonts w:cs="Times New Roman" w:ascii="Times New Roman" w:hAnsi="Times New Roman"/>
          <w:sz w:val="28"/>
          <w:szCs w:val="28"/>
        </w:rPr>
        <w:t xml:space="preserve"> бюджетная отчетность за 2024 год (далее – годовая бюджетная отчетность).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Объект экспертно-аналитического мероприятия:</w:t>
      </w:r>
      <w:r>
        <w:rPr>
          <w:rFonts w:cs="Times New Roman" w:ascii="Times New Roman" w:hAnsi="Times New Roman"/>
          <w:sz w:val="28"/>
          <w:szCs w:val="28"/>
        </w:rPr>
        <w:t xml:space="preserve"> Отдел образования и делам молодежи администрация Лухского муниципального района (далее – Отдел образования).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Цель экспертно-аналитического мероприятия:</w:t>
      </w:r>
      <w:r>
        <w:rPr>
          <w:rFonts w:cs="Times New Roman" w:ascii="Times New Roman" w:hAnsi="Times New Roman"/>
          <w:sz w:val="28"/>
          <w:szCs w:val="28"/>
        </w:rPr>
        <w:t xml:space="preserve"> оценка своевременности предоставления, состава и содержания годовой бюджетной отчетности.</w:t>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Должностные лица объекта экспертно-аналитического мероприятия, ответственные за составление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Заместитель главы администрации Лухского муниципального района, начальник отдела образования и делам молодежи администрации Лухского муниципального района – Кирсанова Светлана Владимировна;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главный бухгалтер Отдела образования  – Перова  Елена Павловна.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b/>
          <w:sz w:val="28"/>
          <w:szCs w:val="28"/>
        </w:rPr>
        <w:t>Срок проведения экспертно-аналитического мероприятия:</w:t>
      </w:r>
      <w:r>
        <w:rPr>
          <w:rFonts w:cs="Times New Roman" w:ascii="Times New Roman" w:hAnsi="Times New Roman"/>
          <w:sz w:val="28"/>
          <w:szCs w:val="28"/>
        </w:rPr>
        <w:t xml:space="preserve"> с 20.03.2025г. по 31.03.2025г.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b/>
          <w:sz w:val="28"/>
          <w:szCs w:val="28"/>
        </w:rPr>
        <w:t>Исполнитель экспертно-аналитического мероприятия:</w:t>
      </w:r>
      <w:r>
        <w:rPr>
          <w:rFonts w:cs="Times New Roman" w:ascii="Times New Roman" w:hAnsi="Times New Roman"/>
          <w:sz w:val="28"/>
          <w:szCs w:val="28"/>
        </w:rPr>
        <w:t xml:space="preserve"> Председатель Контрольно-счетного органа Лухского муниципального района Смирнова О.П.</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1.ОБЩИЕ СВЕДЕНИЯ</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Отдел образования является структурным подразделением администрации Лухского муниципального района и обладает правами юридического лица.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Решением Совета Лухского муниципального района от 27.12.2023г. №49 «О районном бюджете на 2024 год и плановый период 2025 и 2026 годов» Администрация определена главным администратором, администратором доходов, главным распорядителем, распорядителем, получателем средств бюджета Лухского муниципального района, которому присвоен код главы по бюджетной классификации – 042.</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2.ОЦЕНКА СВОЕВРЕМЕННОСТИ ПРЕДОСТАВЛЕНИЯ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представлена в Контрольно-счетный орган Лухского муниципального района с соблюдением срока, установленного Порядком проведения внешней проверки годового отчета об исполнении бюджета Лухского муниципального района, утвержденного решением Совета Лухского муниципального района от 28.03.2024г. №12.</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3.ОЦЕНКА СОБЛЮДЕНИЯ ОБЩИХ ПРАВИЛ ПРЕДСТАВЛЕНИЯ ГОДОВОЙ БЮДЖЕТНОЙ ОТЧЕТНОСТИ</w:t>
      </w:r>
    </w:p>
    <w:p>
      <w:pPr>
        <w:pStyle w:val="Normal"/>
        <w:spacing w:lineRule="auto" w:line="240" w:before="0" w:after="200"/>
        <w:contextualSpacing/>
        <w:jc w:val="both"/>
        <w:rPr>
          <w:rFonts w:ascii="Times New Roman" w:hAnsi="Times New Roman" w:cs="Times New Roman"/>
          <w:color w:val="FF0000"/>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В соответствии с п.4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28.12.2010г. №191н (далее – Инструкция) годовая бюджетная отчетность представлена в Контрольно-счетный орган Лухского муниципального района на бумажном носителе, в сброшюрованном и пронумерованном виде с оглавлением и сопроводительным письмом.</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4.ОЦЕНКА СОСТАВА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п.11.1 Инструкции годовая бюджетная отчетность представлена в Контрольно-счетный орган Лухского муниципального района в полном объеме.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составе годовой бюджетной отчетности представлены: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баланс главного распорядителя, распорядителя, получателя бюджетных средств, главного администратора, администратора источников финансирования дефицита бюджета, главного администратора, администратора доходов бюджета (ф.0503130);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заключению счетов бюджетного учета отчетного финансового года (ф.0503110);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об исполнении бюджета главного распорядителя, распорядителя, получателя бюджетных средств, главного администратора, администратора</w:t>
      </w:r>
      <w:r>
        <w:rPr>
          <w:rFonts w:cs="Times New Roman" w:ascii="Times New Roman" w:hAnsi="Times New Roman"/>
          <w:color w:val="FF0000"/>
          <w:sz w:val="28"/>
          <w:szCs w:val="28"/>
        </w:rPr>
        <w:t xml:space="preserve"> </w:t>
      </w:r>
      <w:r>
        <w:rPr>
          <w:rFonts w:cs="Times New Roman" w:ascii="Times New Roman" w:hAnsi="Times New Roman"/>
          <w:sz w:val="28"/>
          <w:szCs w:val="28"/>
        </w:rPr>
        <w:t>источников финансирования дефицита бюджета, главного администратора, администратора доходов бюджета (ф.0503127);</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бюджетных обязательствах (ф.0503128);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финансовых результатах деятельности (ф.0503121);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отчет о движении денежных средств (ф.0503123);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пояснительная записка (ф.0503160), а также формы и таблицы, входящие в ее состав, а именно: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направлениях деятельности (таблица №1);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текстовых статей закона (решения) о бюджете (таблица №3);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основных положениях учетной политики (таблица №4);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проведении инвентаризации (таблица №6);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организационной структуре субъекта бюджетной отчетности (таблица №11);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анализ отчета об исполнении бюджета субъектом бюджетной отчетности (таблица №13);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 сведения об исполнении бюджета (ф.0503164);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мероприятий в рамках целевых программ (ф.0503166);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движении нефинансовых активов (ф.0503168) (имущество в оперативном управлении);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(дебиторская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по дебиторской и кредиторской задолженности (ф.0503169) (кредиторская задолженность);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финансовых вложениях получателя бюджетных средств, администратора источников финансирования дефицита бюджета (ф.0503171).</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п.п. 8 Инструкции в составе годовой бюджетной отчетности в Контрольно-счетный орган  Лухского муниципального района не представлены следующие формы, ввиду отсутствия числовых показателей: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государственном (муниципальном) долге, предоставляемых бюджетных кредитах  (ф.0503172);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изменении остатков валюты баланса (ф.0503173);</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остатках денежных средств на счетах получателя бюджетных средств (ф.0503178);</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об исполнении судебных решений по денежным обязательствам бюджета (ф.0503296);</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справка по консолидируемым расчетам (ф.0503125);</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вложениях в объекты недвижимого имущества, объектах незавершенного строительства (ф.0503190);</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сведения о результатах деятельности субъекта бюджетной отчетности (таблица №12);</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анализ показателей отчетности субъекта бюджетной отчетности (таблица №14);</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причины увеличения просроченной задолженности (таблица №15);</w:t>
      </w:r>
    </w:p>
    <w:p>
      <w:pPr>
        <w:pStyle w:val="Normal"/>
        <w:spacing w:lineRule="auto" w:line="240" w:before="0" w:after="200"/>
        <w:contextualSpacing/>
        <w:jc w:val="both"/>
        <w:rPr>
          <w:rFonts w:ascii="Times New Roman" w:hAnsi="Times New Roman" w:cs="Times New Roman"/>
          <w:b/>
          <w:b/>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прочие вопросы деятельности субъекта бюджетной отчетности (таблица №16).</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5. ОЦЕНКА СОБЛЮДЕНИЯ ОБЩИХ ПРАВИЛ СОСТАВЛЕНИЯ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п.2 Инструкции годовая бюджетная отчетность составлена на 1 января года, следующего за  отчетным.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п.6 Инструкции все формы  годовой бюджетной отчетности подписаны руководителем и главным бухгалтером.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п.7 Инструкции перед составлением годовой бюджетной отчетности проведена инвентаризация активов и обязательств.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п.8 Инструкции показатели годовой бюджетной отчетности, имеющие отрицательное значение отражены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соответствии с п.9 Инструкции годовая бюджетная отчетность составлена нарастающим итогом с начала года в рублях с точностью до второго десятичного знака после запятой.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формах годовой бюджетной отчетности в полном объеме и правильно заполнены все предусмотренные реквизиты.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Формы годовой бюджетной отчетности соответствуют формам, установленным Инструкцией.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6.ОЦЕНКА ПОКАЗАТЕЛЕЙ  ГОДОВОЙ</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годовой бюджетной отчетности содержатся показатели по бюджетной деятельности и по деятельности со средствами, поступающими во временное распоряжение.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053130 отражены изменения остатков по счетам бюджетного учета, произошедшие у Отдела образования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нефинансовых активов (по бюджетной деятельности) Отдела образования на балансовых счетах уменьшились на 501 952,16 руб. и составили  22 283 541,02 руб.  Остатки нефинансовых активов сложились из числящихся основных средств на сумму 18 760 764,35 руб., материальных запасов на сумму 3 506 672,44 руб., и расходы будущих периодов на сумму 16 104,23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финансовых активов (по бюджетной деятельности) Отдела образования на балансовых счетах увеличились на 95 253,75 руб. и составили 50 694 640,18 руб. Остатки финансовых активов сложились из денежных средств учреждения на сумму 70 352,00 руб., финансовых вложений на сумму 50 532 610,11 руб., дебиторской задолженности по доходам на сумму 57 833,93  руб. и дебиторской задолженности по выплатам на сумму 33 844,14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Остатки обязательств (по бюджетной деятельности) Отдела образования на балансовых счетах увеличились на 423 627,56 руб. и составили 482 843,64 руб. Остатки обязательств сложились  из кредиторской задолженности по выплатам на сумму 349 469,41 руб., расчетов по платежам в бюджеты на сумму 28 013,47 руб. и кредиторской задолженности по доходам на сумму 105 360,76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Финансовый результат Отдела образования уменьшился на сумму 830 325,97 руб. и составил 72 495 337,56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0503110 отражены обороты по счетам бюджетного учета, подлежащим закрытию Отделом образования по завершению отчетного периода.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После заключительных записей по счетам бюджетного учета Отдела образования дебетовые обороты сложились в сумме 100 165 720,64 руб., а кредитовые обороты в сумме 99 335 394,67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0503127 отражено исполнение бюджета Отдела образования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Отдела образования не поступали, так как доходные источники отсутствуют.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Отдела образования исполнены в сумме  89 184 087,79 руб., что составило 96,9% по отношению к утвержденным бюджетным назначениям расходов Отдела образования (92 030 457,99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Отдела образования сложился в сумме 89 184 087,79 руб. со знаком «минус». Отрицательный результат исполнения бюджета означает превышение расходов над доходами. Дефицит бюджета сложился в результате изменения остатков по расчетам с органами, организующими исполнение бюджета.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0503128 отражены бюджетные обязательства, принятые Отделом образования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Отделом образования приняты бюджетные обязательства текущего (отчетного) финансового года по расходам в сумме 92 030 457,99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Бюджетные обязательства текущего (отчетного) финансового года по выплатам источников финансирования дефицита бюджета Отделом образования не принимались.</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0503121 отражены финансовые результаты деятельности Отдела образования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Отдела образования  составили  10 151 306,88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доходы от безвозмездных неденежных поступлений капитального характера от сектора государственного управления и организаций государственного сектора  в сумме 10 151 306,88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Отдела образования составили 100 165 720,64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труда и начисления на выплаты по оплате труда в сумме 33 514 216,54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оплату работ, услуг в сумме 16 172 283,29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безвозмездные перечисления (передачи)текущего характера сектора государственного управления в сумме 31 589 825,42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на социальное обеспечение в сумме 731 187,92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расходов по операциям с активами в сумме 14 055 947,02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прочих расходов в сумме 3 270,59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безвозмездные перечисления капитального характера государственным (муниципальным) учреждениям в сумме 4 098 989,86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Чистый операционный результат Отдела образования составил 90 014 413,76 руб. со знаком «минус» и сложился за счет операций с нефинансовыми активами на сумму 501 952,16 руб. со знаком «минус» и операций с финансовыми активами и обязательствами на сумму 89 512 461,60 руб. со знаком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0503123 отражено движение денежных средств Отдела образования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Поступления Отдела образования составили 0,00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Отдела образования составили 89 184 087,79 руб. и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текущим операциям в сумме 88 298 655,13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по инвестиционным операциям в сумме 885 432,66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текущим операциям сложились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труда и начислений на выплаты по оплате труда в сумме 33 514 216,54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оплату работ, услуг в сумме 15 757 449,19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безвозмездные перечисления текущего характера в сумме 31 589 825,42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социальное обеспечение в сумме 728 094,24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выбытий на приобретение товаров и материальных запасов в сумме 6 709 069,74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Выбытия по инвестиционным операциям сложились за счет выбытий на приобретение нефинансовых активов в сумме 885 432,66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Изменение остатков средств Отдела образования составило 89 184 087,79 руб. и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изменений остатков средств в сумме 89 184 087,79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№3 отражены сведения об исполнении Отделом образования текстовых статей закона (решения) о бюджете в отчетном периоде. По данным таблицы: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color w:val="FF0000"/>
          <w:sz w:val="28"/>
          <w:szCs w:val="28"/>
        </w:rPr>
        <w:t xml:space="preserve">     </w:t>
      </w:r>
      <w:r>
        <w:rPr>
          <w:rFonts w:cs="Times New Roman" w:ascii="Times New Roman" w:hAnsi="Times New Roman"/>
          <w:sz w:val="28"/>
          <w:szCs w:val="28"/>
        </w:rPr>
        <w:t>Текстовые статьи решения Совета Лухского муниципального района от 27.12.2023г. №49 «О районном бюджете на 2024 год и плановый период 2025 и 2026 годов» Отделом образования исполнены не в полном объеме, из-за уменьшения количества детей.</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0503164 отражены сведения об исполнении бюджета Отделом образования за отчетный период.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Доходы не поступали, так как доходные источники у Отдела образования отсутствовали.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Отдела образования исполнены в сумме 89 184 087,79 руб., что ниже  утвержденных бюджетных назначений расходов Отдела образования на сумму 2 846 370,20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Отклонение показателей исполнения расходов от утвержденных бюджетных назначений расходов обусловлено иными причинами.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Результат исполнения бюджета Отдела образования сложился в сумме 89 184 087,79 руб. со знаков «минус».</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0503166 отражены сведения об исполнении Отделом образования мероприятий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Отделом образования проводились мероприятия в рамках  муниципальной программы Лухского муниципального района «Развитие образования в Лухском муниципальном районе».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Расходы на проведение мероприятий в рамках муниципальной программы Лухского муниципального района составили 89 184 087,79 руб. или 96,9% по отношению к утвержденным бюджетным назначениям расходов на реализацию муниципальных программ Лухского муниципального района (92 030 457,99 руб.). Неисполнение расходов на проведение мероприятий в рамках муниципальной программы Лухского муниципального района составило  2 846 370,20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0503168 отражены сведения о движении нефинансовых активов Отдела образования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нефинансовых активов Отдела образования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основных средств;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движения материальных запасов.</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основных средств  сложилось за счет:</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на сумму 10 151 306,88 руб. и выбытия основных средств на сумму 6 646 909,63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начисления амортизации основных средств на сумму 4 054 452,71руб.;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увеличения вложений в основные средства на сумму 11 125 856,92 руб. и уменьшения вложений в основные средства на сумму 11 125 856,92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запасов сложилось за счет поступления материальных запасов на сумму 6 883 422,70 руб. и выбытия материальных запасов на сумму 6 833 834,66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Движение материальных ценностей Отдела образования на забалансовых счетах произошло в результате:</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материальных ценностей на хранение на сумму 1 305,00 руб. и выбытия на сумму 252,00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поступления основных средств в эксплуатации на сумму 300 391,97 руб. и выбытия основных средств в эксплуатации на сумму 432 059,54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(дебиторская задолженность) отражены сведения о состоянии дебиторской задолженности Отдела образования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Дебиторская задолженность Отдела образования увеличилась на 24 901,75 руб. и составила 91 678,07 руб. Дебиторская задолженность сложилась по таким счетам бюджетного учета, как: 1 205 00 000 в сумме 57 833,93 руб., 1 303 00 000 в сумме 33 844,14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0503169 (кредиторская задолженность) отражены сведения о состоянии кредиторской задолженности Отдела образования в отчетном периоде. По данным формы:</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Кредиторская задолженность Отдела образования увеличилась на 353 275,56 руб. и составила 412 491,64 руб. Кредиторская задолженность сложилась по таким счетам бюджетного учета, как: 1 205 00 000 в сумме 35 008,76 руб., 1 302 00 000 в сумме 349 469,41 руб., 1 303 00 000 в сумме 28 013,47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форме 0503171 отражены сведения о финансовых вложениях путем участия в государственных (муниципальных) учреждениях на сумму 50 532 610,11 руб.</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В таблице №4 отражены сведения об основных положениях учетной политики Отдела образования, раскрывающие особенности отражения в бюджетном учете операций с активами и обязательствами.</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 xml:space="preserve">7. ОЦЕНКА СОГЛАСОВАННОСТИ </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ФОРМ 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b/>
          <w:sz w:val="28"/>
          <w:szCs w:val="28"/>
        </w:rPr>
        <w:t xml:space="preserve">     </w:t>
      </w:r>
      <w:r>
        <w:rPr>
          <w:rFonts w:cs="Times New Roman" w:ascii="Times New Roman" w:hAnsi="Times New Roman"/>
          <w:sz w:val="28"/>
          <w:szCs w:val="28"/>
        </w:rPr>
        <w:t>Согласованность форм годовой бюджетной отчетности Контрольно-счетным органом Лухского муниципального района проверена путем сверки взаимосвязанных показателей различных форм годовой бюджетной отчетности по контрольным соотношениям. При сверке взаимосвязанных показателей различных форм годовой бюджетной отчетности по контрольным соотношениям расхождений не выявлено.</w:t>
      </w:r>
    </w:p>
    <w:p>
      <w:pPr>
        <w:pStyle w:val="Normal"/>
        <w:spacing w:lineRule="auto" w:line="240" w:before="0" w:after="200"/>
        <w:contextualSpacing/>
        <w:jc w:val="center"/>
        <w:rPr>
          <w:rFonts w:ascii="Times New Roman" w:hAnsi="Times New Roman" w:cs="Times New Roman"/>
          <w:b/>
          <w:b/>
          <w:sz w:val="28"/>
          <w:szCs w:val="28"/>
        </w:rPr>
      </w:pPr>
      <w:r>
        <w:rPr>
          <w:rFonts w:cs="Times New Roman" w:ascii="Times New Roman" w:hAnsi="Times New Roman"/>
          <w:b/>
          <w:sz w:val="28"/>
          <w:szCs w:val="28"/>
        </w:rPr>
        <w:t>8.ОЦЕНКА ДОСТОВЕРНОСТИ</w:t>
      </w:r>
    </w:p>
    <w:p>
      <w:pPr>
        <w:pStyle w:val="Normal"/>
        <w:spacing w:lineRule="auto" w:line="240" w:before="0" w:after="200"/>
        <w:contextualSpacing/>
        <w:jc w:val="center"/>
        <w:rPr>
          <w:rFonts w:ascii="Times New Roman" w:hAnsi="Times New Roman" w:cs="Times New Roman"/>
          <w:sz w:val="28"/>
          <w:szCs w:val="28"/>
        </w:rPr>
      </w:pPr>
      <w:r>
        <w:rPr>
          <w:rFonts w:cs="Times New Roman" w:ascii="Times New Roman" w:hAnsi="Times New Roman"/>
          <w:b/>
          <w:sz w:val="28"/>
          <w:szCs w:val="28"/>
        </w:rPr>
        <w:t>ГОДОВОЙ БЮДЖЕТНОЙ ОТЧЕТНОСТИ</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Достоверность годовой бюджетной отчетности Контрольно-счетным органом Лухского муниципального района проверена путем сопоставления показателей годовой бюджетной отчетности с показателями, утвержденными Решением Совета Лухского муниципального района от  27.12.2023г. №49 «О районном бюджете на 2024 год и плановый период 2025 и 2026 годов» (в актуальной редакции) (далее – Решение о бюджете), сводной бюджетной росписью бюджета Лухского муниципального района на 2024 год и плановый период 2025 и  2026 годов с изменениями по состоянию на 31.12.2024г. (далее – сводная бюджетная роспись) , с показателями «Отчета по поступлениям и выбытиям) (ф.0503151) по состоянию на 01.01.2025г. (далее – Отчет по поступлениям и выбытиям).</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31.12.2024г.) отраженного в форме 0503127  (графа 4), с показателями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доходов (на 31.12.2024г.), отраженного в форме 0503127  (графа 8), с показателями общей суммы исполнения доходов,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0503127 (графа 4)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показателей общей суммы утвержденных бюджетных назначений расходов (на 31.12.2024г.), отраженного в форме 0503127 (графа 4) с показателем общей суммы бюджетных назначений расходов, утвержденного  сводной бюджетной росписью бюджета в уточненной</w:t>
      </w:r>
      <w:r>
        <w:rPr>
          <w:rFonts w:cs="Times New Roman" w:ascii="Times New Roman" w:hAnsi="Times New Roman"/>
          <w:color w:val="FF0000"/>
          <w:sz w:val="28"/>
          <w:szCs w:val="28"/>
        </w:rPr>
        <w:t xml:space="preserve"> </w:t>
      </w:r>
      <w:r>
        <w:rPr>
          <w:rFonts w:cs="Times New Roman" w:ascii="Times New Roman" w:hAnsi="Times New Roman"/>
          <w:sz w:val="28"/>
          <w:szCs w:val="28"/>
        </w:rPr>
        <w:t>редакции,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0503127 (графа  9),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0503128 (графа 4),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0503128 (графа 10),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доходов (на 31.12.2024г.), отраженного в форме 0503164 (графа 3), с показателем общей суммы бюджетных назначений доходов,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доходов (на 31.12.2024г.), отраженного в форме 0503164  (графа 5), с показателем общей суммы исполнения доходов,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0503164 (графа 3), с показателем общей суммы бюджетных назначений расходов, утвержденного Решением о бюджете,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утвержденных бюджетных назначений расходов (на 31.12.2024г.), отраженного в форме 0503164 (графа 3), с показателем общей суммы бюджетных назначений расходов, утвержденного сводной бюджетной росписью бюджета,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 сопоставлении показателя общей суммы исполнения расходов (на 31.12.2024г.), отраженного в форме 0503164 (графа 5), с показателем общей суммы исполнения расходов, отраженного в Отчете по поступлениям и выбытиям, расхождений не выявлено.</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Годовая бюджетная отчетность отражает финансовое положение Отдела образования по состоянию на 01.01.2025г. и результаты финансово-хозяйственной деятельности за период с 01.01.2024 года по 31.12.2024 года.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Председатель Контрольно-счетного органа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                                                 О.П.Смирнова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С заключением ознакомлены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Заместитель главы администрации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Лухского муниципального района,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начальник Отдела образования:                                                    С.В.Кирсанова</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«____»___________2025г.</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Normal"/>
        <w:spacing w:lineRule="auto" w:line="240" w:before="0" w:after="200"/>
        <w:contextualSpacing/>
        <w:jc w:val="both"/>
        <w:rPr>
          <w:rFonts w:ascii="Times New Roman" w:hAnsi="Times New Roman" w:cs="Times New Roman"/>
          <w:sz w:val="28"/>
          <w:szCs w:val="28"/>
        </w:rPr>
      </w:pPr>
      <w:r>
        <w:rPr>
          <w:rFonts w:cs="Times New Roman" w:ascii="Times New Roman" w:hAnsi="Times New Roman"/>
          <w:sz w:val="28"/>
          <w:szCs w:val="28"/>
        </w:rPr>
        <w:t>Главный бухгалтер Отдела образования:                                           Е.П.Перова</w:t>
      </w:r>
    </w:p>
    <w:p>
      <w:pPr>
        <w:pStyle w:val="Normal"/>
        <w:spacing w:lineRule="auto" w:line="240" w:before="0" w:after="20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«____»_________2025г.    </w:t>
      </w:r>
    </w:p>
    <w:p>
      <w:pPr>
        <w:pStyle w:val="Normal"/>
        <w:spacing w:lineRule="auto" w:line="240" w:before="0" w:after="200"/>
        <w:contextualSpacing/>
        <w:rPr/>
      </w:pPr>
      <w:r>
        <w:rPr/>
      </w:r>
    </w:p>
    <w:sectPr>
      <w:footerReference w:type="default" r:id="rId3"/>
      <w:type w:val="nextPage"/>
      <w:pgSz w:w="11906" w:h="16838"/>
      <w:pgMar w:left="1701" w:right="850" w:gutter="0" w:header="0" w:top="1134" w:footer="709"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Liberation Sans">
    <w:altName w:val="Arial"/>
    <w:charset w:val="cc"/>
    <w:family w:val="swiss"/>
    <w:pitch w:val="variable"/>
  </w:font>
  <w:font w:name="Times New Roman">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4"/>
      <w:jc w:val="center"/>
      <w:rPr/>
    </w:pPr>
    <w:r>
      <w:fldChar w:fldCharType="begin"/>
    </w:r>
    <w:r>
      <w:rPr/>
    </w:r>
    <w:r>
      <w:rPr/>
    </w:r>
    <w:r>
      <w:rPr/>
      <w:fldChar w:fldCharType="separate"/>
    </w:r>
    <w:r>
      <w:rPr/>
    </w:r>
    <w:r>
      <w:rPr/>
    </w:r>
    <w:r>
      <w:rPr/>
      <w:fldChar w:fldCharType="end"/>
    </w:r>
    <w:sdt>
      <w:sdtPr>
        <w:id w:val="789605440"/>
      </w:sdtPr>
      <w:sdtContent>
        <w:r>
          <w:rPr/>
          <w:t xml:space="preserve"> PAGE   \* MERGEFORMAT 10</w:t>
        </w:r>
      </w:sdtContent>
    </w:sdt>
  </w:p>
  <w:p>
    <w:pPr>
      <w:pStyle w:val="Style24"/>
      <w:rPr/>
    </w:pPr>
    <w:r>
      <w:rPr/>
    </w:r>
  </w:p>
</w:ft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1383a"/>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BalloonText"/>
    <w:uiPriority w:val="99"/>
    <w:semiHidden/>
    <w:qFormat/>
    <w:rsid w:val="00e95666"/>
    <w:rPr>
      <w:rFonts w:ascii="Tahoma" w:hAnsi="Tahoma" w:cs="Tahoma"/>
      <w:sz w:val="16"/>
      <w:szCs w:val="16"/>
    </w:rPr>
  </w:style>
  <w:style w:type="character" w:styleId="Style15" w:customStyle="1">
    <w:name w:val="Верхний колонтитул Знак"/>
    <w:basedOn w:val="DefaultParagraphFont"/>
    <w:uiPriority w:val="99"/>
    <w:semiHidden/>
    <w:qFormat/>
    <w:rsid w:val="00cf5ed8"/>
    <w:rPr/>
  </w:style>
  <w:style w:type="character" w:styleId="Style16" w:customStyle="1">
    <w:name w:val="Нижний колонтитул Знак"/>
    <w:basedOn w:val="DefaultParagraphFont"/>
    <w:uiPriority w:val="99"/>
    <w:qFormat/>
    <w:rsid w:val="00cf5ed8"/>
    <w:rPr/>
  </w:style>
  <w:style w:type="paragraph" w:styleId="Style17">
    <w:name w:val="Заголовок"/>
    <w:basedOn w:val="Normal"/>
    <w:next w:val="Style18"/>
    <w:qFormat/>
    <w:pPr>
      <w:keepNext w:val="true"/>
      <w:spacing w:before="240" w:after="120"/>
    </w:pPr>
    <w:rPr>
      <w:rFonts w:ascii="Liberation Sans" w:hAnsi="Liberation Sans"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lang w:val="zxx" w:eastAsia="zxx" w:bidi="zxx"/>
    </w:rPr>
  </w:style>
  <w:style w:type="paragraph" w:styleId="ListParagraph">
    <w:name w:val="List Paragraph"/>
    <w:basedOn w:val="Normal"/>
    <w:uiPriority w:val="34"/>
    <w:qFormat/>
    <w:rsid w:val="00e95666"/>
    <w:pPr>
      <w:spacing w:before="0" w:after="200"/>
      <w:ind w:left="720" w:hanging="0"/>
      <w:contextualSpacing/>
    </w:pPr>
    <w:rPr/>
  </w:style>
  <w:style w:type="paragraph" w:styleId="BalloonText">
    <w:name w:val="Balloon Text"/>
    <w:basedOn w:val="Normal"/>
    <w:link w:val="Style14"/>
    <w:uiPriority w:val="99"/>
    <w:semiHidden/>
    <w:unhideWhenUsed/>
    <w:qFormat/>
    <w:rsid w:val="00e95666"/>
    <w:pPr>
      <w:spacing w:lineRule="auto" w:line="240" w:before="0" w:after="0"/>
    </w:pPr>
    <w:rPr>
      <w:rFonts w:ascii="Tahoma" w:hAnsi="Tahoma" w:cs="Tahoma"/>
      <w:sz w:val="16"/>
      <w:szCs w:val="16"/>
    </w:rPr>
  </w:style>
  <w:style w:type="paragraph" w:styleId="Style22">
    <w:name w:val="Колонтитул"/>
    <w:basedOn w:val="Normal"/>
    <w:qFormat/>
    <w:pPr/>
    <w:rPr/>
  </w:style>
  <w:style w:type="paragraph" w:styleId="Style23">
    <w:name w:val="Header"/>
    <w:basedOn w:val="Normal"/>
    <w:link w:val="Style15"/>
    <w:uiPriority w:val="99"/>
    <w:semiHidden/>
    <w:unhideWhenUsed/>
    <w:rsid w:val="00cf5ed8"/>
    <w:pPr>
      <w:tabs>
        <w:tab w:val="clear" w:pos="708"/>
        <w:tab w:val="center" w:pos="4677" w:leader="none"/>
        <w:tab w:val="right" w:pos="9355" w:leader="none"/>
      </w:tabs>
      <w:spacing w:lineRule="auto" w:line="240" w:before="0" w:after="0"/>
    </w:pPr>
    <w:rPr/>
  </w:style>
  <w:style w:type="paragraph" w:styleId="Style24">
    <w:name w:val="Footer"/>
    <w:basedOn w:val="Normal"/>
    <w:link w:val="Style16"/>
    <w:uiPriority w:val="99"/>
    <w:unhideWhenUsed/>
    <w:rsid w:val="00cf5ed8"/>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4B239-409C-4DF5-BCAD-19B8418F0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1954</TotalTime>
  <Application>LibreOffice/7.3.4.2$Windows_X86_64 LibreOffice_project/728fec16bd5f605073805c3c9e7c4212a0120dc5</Application>
  <AppVersion>15.0000</AppVersion>
  <Pages>9</Pages>
  <Words>2787</Words>
  <Characters>19239</Characters>
  <CharactersWithSpaces>22824</CharactersWithSpaces>
  <Paragraphs>170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2023-03-29T13:31:00Z</dcterms:created>
  <dc:creator>Смирнова</dc:creator>
  <dc:description/>
  <dc:language>ru-RU</dc:language>
  <cp:lastModifiedBy>Смирнова</cp:lastModifiedBy>
  <cp:lastPrinted>2025-04-29T07:35:00Z</cp:lastPrinted>
  <dcterms:modified xsi:type="dcterms:W3CDTF">2025-04-29T07:37:00Z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file>