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/>
      </w:pPr>
      <w:r>
        <w:rPr/>
        <w:drawing>
          <wp:inline distT="0" distB="0" distL="0" distR="0">
            <wp:extent cx="581025" cy="7327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27" r="-3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color w:val="000000"/>
          <w:lang w:val="en-US"/>
        </w:rPr>
        <w:t xml:space="preserve">E-mail:  luhkso@yandex.ru       </w:t>
      </w:r>
    </w:p>
    <w:p>
      <w:pPr>
        <w:pStyle w:val="Normal"/>
        <w:spacing w:before="0" w:after="20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b/>
          <w:color w:val="000000"/>
          <w:sz w:val="28"/>
          <w:szCs w:val="28"/>
          <w:lang w:val="en-US"/>
        </w:rPr>
        <w:t xml:space="preserve">25.11.2024 </w:t>
      </w:r>
      <w:r>
        <w:rPr>
          <w:b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              </w:t>
      </w:r>
    </w:p>
    <w:p>
      <w:pPr>
        <w:pStyle w:val="Normal"/>
        <w:spacing w:before="0" w:after="200"/>
        <w:contextualSpacing/>
        <w:jc w:val="center"/>
        <w:rPr>
          <w:color w:val="F10D0C"/>
        </w:rPr>
      </w:pPr>
      <w:r>
        <w:rPr>
          <w:color w:val="F10D0C"/>
        </w:rPr>
      </w:r>
    </w:p>
    <w:p>
      <w:pPr>
        <w:pStyle w:val="Normal"/>
        <w:jc w:val="center"/>
        <w:rPr/>
      </w:pPr>
      <w:r>
        <w:rPr>
          <w:b/>
          <w:color w:val="000000"/>
          <w:sz w:val="32"/>
          <w:szCs w:val="32"/>
        </w:rPr>
        <w:t>ЗАКЛЮЧЕНИЕ № 72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результатам </w:t>
      </w:r>
      <w:r>
        <w:rPr>
          <w:b/>
          <w:color w:val="000000"/>
          <w:sz w:val="28"/>
          <w:szCs w:val="28"/>
        </w:rPr>
        <w:t>проведени</w:t>
      </w:r>
      <w:r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экспертно-аналитического мероприятия «Экспертиза проекта решения Совета Рябовского  сельского поселения «О бюджете  Рябовского  сельского поселения на 202</w:t>
      </w:r>
      <w:r>
        <w:rPr>
          <w:b/>
          <w:color w:val="000000"/>
          <w:sz w:val="28"/>
          <w:szCs w:val="28"/>
          <w:lang w:val="en-US"/>
        </w:rPr>
        <w:t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  <w:lang w:val="en-US"/>
        </w:rPr>
        <w:t>6</w:t>
      </w:r>
      <w:r>
        <w:rPr>
          <w:b/>
          <w:color w:val="000000"/>
          <w:sz w:val="28"/>
          <w:szCs w:val="28"/>
        </w:rPr>
        <w:t>- 202</w:t>
      </w:r>
      <w:r>
        <w:rPr>
          <w:b/>
          <w:color w:val="000000"/>
          <w:sz w:val="28"/>
          <w:szCs w:val="28"/>
          <w:lang w:val="en-US"/>
        </w:rPr>
        <w:t>7</w:t>
      </w:r>
      <w:r>
        <w:rPr>
          <w:b/>
          <w:color w:val="000000"/>
          <w:sz w:val="28"/>
          <w:szCs w:val="28"/>
        </w:rPr>
        <w:t>годов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Общие положения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Настоящее заключение подготовлено Контрольно-счетным органом Лухского муниципального района на проект решения Совета Рябовского сельского поселения «О бюджете Рябовского сельского поселения на </w:t>
      </w:r>
      <w:r>
        <w:rPr>
          <w:color w:val="000000"/>
          <w:sz w:val="28"/>
          <w:szCs w:val="28"/>
          <w:lang w:val="en-US"/>
        </w:rPr>
        <w:t>2025 год</w:t>
      </w:r>
      <w:r>
        <w:rPr>
          <w:color w:val="000000"/>
          <w:sz w:val="28"/>
          <w:szCs w:val="28"/>
        </w:rPr>
        <w:t xml:space="preserve"> и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годов» (далее – проект решения о бюджете) в соответствии с Бюджетным кодексом Российской Федерации (далее - БК РФ), Уставом   Рябовского сельского поселения, Решением Совета Рябовского сельского поселения от 27.12.2013г.  № 40 «О  бюджетном процессе  Рябовского сельского поселения» в актуальной редакции. Решением Совета  Рябовского сельского поселения от 28.12.2023г. № 28 «О передаче Контрольно-счетному органу  Лухского муниципального района   полномочий  Контрольно-счетной комиссии </w:t>
      </w:r>
      <w:r>
        <w:rPr>
          <w:b w:val="false"/>
          <w:bCs w:val="false"/>
          <w:color w:val="000000"/>
          <w:sz w:val="28"/>
          <w:szCs w:val="28"/>
        </w:rPr>
        <w:t>Рябовского  сельского поселения»,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Соглашением от </w:t>
      </w:r>
      <w:r>
        <w:rPr>
          <w:color w:val="000000"/>
          <w:sz w:val="28"/>
          <w:szCs w:val="28"/>
          <w:lang w:val="en-US"/>
        </w:rPr>
        <w:t>30.01.2024г</w:t>
      </w:r>
      <w:r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  <w:lang w:val="en-US"/>
        </w:rPr>
        <w:t xml:space="preserve"> 3 «</w:t>
      </w:r>
      <w:r>
        <w:rPr>
          <w:rFonts w:cs="Times New Roman"/>
          <w:b w:val="false"/>
          <w:color w:val="000000"/>
          <w:sz w:val="28"/>
          <w:szCs w:val="28"/>
          <w:lang w:val="en-US"/>
        </w:rPr>
        <w:t>О передаче  Контрольно-счетному органу Лухского муниципального района полномочий Контрольно-счетн</w:t>
      </w:r>
      <w:r>
        <w:rPr>
          <w:rFonts w:cs="Times New Roman"/>
          <w:b w:val="false"/>
          <w:color w:val="000000"/>
          <w:sz w:val="28"/>
          <w:szCs w:val="28"/>
          <w:lang w:val="ru-RU"/>
        </w:rPr>
        <w:t>ой</w:t>
      </w:r>
      <w:r>
        <w:rPr>
          <w:rFonts w:cs="Times New Roman"/>
          <w:b w:val="false"/>
          <w:color w:val="000000"/>
          <w:sz w:val="28"/>
          <w:szCs w:val="28"/>
          <w:lang w:val="en-US"/>
        </w:rPr>
        <w:t xml:space="preserve"> комиссии  Рябовского сельского поселения по осуществлению внешнего финансового контроля</w:t>
      </w:r>
      <w:r>
        <w:rPr>
          <w:color w:val="000000"/>
          <w:sz w:val="28"/>
          <w:szCs w:val="28"/>
          <w:lang w:val="en-US"/>
        </w:rPr>
        <w:t xml:space="preserve">» </w:t>
      </w:r>
      <w:r>
        <w:rPr>
          <w:color w:val="000000"/>
          <w:sz w:val="28"/>
          <w:szCs w:val="28"/>
        </w:rPr>
        <w:t xml:space="preserve">между Советом Рябовского сельского поселения, Советом Лухского муниципального района и Контрольно-счетным органом Лухского муниципального района, распоряжением председателя Контрольно-счетного органа от 15.11.2024г. №65. 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color w:val="000000"/>
          <w:sz w:val="28"/>
          <w:szCs w:val="28"/>
        </w:rPr>
        <w:t xml:space="preserve"> проект решения Совета Рябовского сельского поселения «О бюджете 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годов» (к первому чтению) с приложениями, а также документы и материалы, предоставленные одновременно с ним.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Цель экспертно-аналитического мероприятия:</w:t>
      </w:r>
      <w:r>
        <w:rPr>
          <w:color w:val="000000"/>
          <w:sz w:val="28"/>
          <w:szCs w:val="28"/>
        </w:rPr>
        <w:t xml:space="preserve"> определение соблюдения нормативно-правовых актов Российской Федерации, Ивановской области и Лухского муниципального района (далее – действующее законодательство) при составлении и внесении проекта бюджета Рябовского сельского поселения.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Объекты экспертно-аналитического мероприятия: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Администрация Рябовского сельского поселения, как орган, уполномоченный на составление проекта бюджета Рябовского сельского поселения, а также на внесение его с необходимыми документами на рассмотрение Совета Рябовского сельского поселения;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Совет Рябовского сельского поселения, как орган, уполномоченный на рассмотрение и принятие проекта бюджета Рябовского сельского поселения.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Срок проведения экспертно-аналитического мероприятия: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  <w:lang w:val="en-US"/>
        </w:rPr>
        <w:t>15.11.2024г</w:t>
      </w:r>
      <w:r>
        <w:rPr>
          <w:color w:val="000000"/>
          <w:sz w:val="28"/>
          <w:szCs w:val="28"/>
        </w:rPr>
        <w:t xml:space="preserve">. по </w:t>
      </w:r>
      <w:r>
        <w:rPr>
          <w:color w:val="000000"/>
          <w:sz w:val="28"/>
          <w:szCs w:val="28"/>
          <w:lang w:val="en-US"/>
        </w:rPr>
        <w:t>25.11.2024г</w:t>
      </w:r>
      <w:r>
        <w:rPr>
          <w:color w:val="000000"/>
          <w:sz w:val="28"/>
          <w:szCs w:val="28"/>
        </w:rPr>
        <w:t>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Руководитель экспертно-аналитического мероприятия:</w:t>
      </w:r>
      <w:r>
        <w:rPr>
          <w:color w:val="000000"/>
          <w:sz w:val="28"/>
          <w:szCs w:val="28"/>
        </w:rPr>
        <w:t xml:space="preserve"> Председатель Контрольно-счетного органа Лухского муниципального района Смирнова Ольга Павловна.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Проект бюджета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годов к первому чтению представлен в виде проекта решения Совета Рябовского сельского поселения «О бюджете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2027 годов</w:t>
      </w:r>
      <w:r>
        <w:rPr>
          <w:color w:val="000000"/>
          <w:sz w:val="28"/>
          <w:szCs w:val="28"/>
        </w:rPr>
        <w:t>» с приложениями.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соответствии с п.4 ст.169 БК РФ проект утверждается сроком на три года – очередной финансовый год и плановый период.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При подготовке заключения Контрольно-счетный орган учитывал необходимость реализации положений, содержащихся в послании Президента Российской Федерации Федеральному Собранию Российской Федерации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прогнозом социально экономического развития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г. и на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гг., одобренный постановлением администрации Рябовского сельского поселения от </w:t>
      </w:r>
      <w:r>
        <w:rPr>
          <w:color w:val="000000"/>
          <w:sz w:val="28"/>
          <w:szCs w:val="28"/>
          <w:lang w:val="en-US"/>
        </w:rPr>
        <w:t>11.11.2023г</w:t>
      </w:r>
      <w:r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  <w:lang w:val="en-US"/>
        </w:rPr>
        <w:t>38</w:t>
      </w:r>
      <w:r>
        <w:rPr>
          <w:color w:val="000000"/>
          <w:sz w:val="28"/>
          <w:szCs w:val="28"/>
        </w:rPr>
        <w:t xml:space="preserve">, основными направлениями бюджетной и налоговой политики Рябовского сельского поселения, утвержденными постановлением администрации Рябовского сельского поселения  от </w:t>
      </w:r>
      <w:r>
        <w:rPr>
          <w:color w:val="000000"/>
          <w:sz w:val="28"/>
          <w:szCs w:val="28"/>
          <w:lang w:val="en-US"/>
        </w:rPr>
        <w:t>11.11.2024г</w:t>
      </w:r>
      <w:r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  <w:lang w:val="en-US"/>
        </w:rPr>
        <w:t>39</w:t>
      </w:r>
      <w:r>
        <w:rPr>
          <w:color w:val="000000"/>
          <w:sz w:val="28"/>
          <w:szCs w:val="28"/>
        </w:rPr>
        <w:t xml:space="preserve"> (в соответствии со ст.172 Бюджетного кодекса РФ).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целях совершенствования программно-целевого планирования издано постановление администрации Рябовского сельского поселения от 25.10.2013г. №63 «О переходе к формированию бюджета Рябовского сельского поселения на основе муниципальных программ Рябовского сельского поселения».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Проект бюджета  составлен в соответствии с действующим налоговым и бюджетным законодательством, с учетом принятых федеральных и областных законов, вступающих в действие с 1 января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Постановлением администрации Рябовского сельского поселения от 05.08.2016г. №75 утвержден порядок составления проекта бюджета Рябовского сельского поселения на очередной финансовый год и плановый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период, в котором определены сроки подготовки документов при разработке проекта решения о бюджете.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Проект бюджета внесен администрацией Рябовского сельского поселения на рассмотрение Совета Рябовского сельского поселения в соответствии с                п. 7.2  ст. 7 Положения о бюджетном процессе Рябовского сельского поселения, т.е. в срок до 15.11.202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г. Данный проект направлен в Контрольно-счетный орган Лухского муниципального района для составления заключения о соответствии предоставленных документов и материалов.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Перечень и содержание документов, предоставленных одновременно с проектом решения на </w:t>
      </w:r>
      <w:r>
        <w:rPr>
          <w:color w:val="000000"/>
          <w:sz w:val="28"/>
          <w:szCs w:val="28"/>
          <w:lang w:val="en-US"/>
        </w:rPr>
        <w:t>2025г</w:t>
      </w:r>
      <w:r>
        <w:rPr>
          <w:color w:val="000000"/>
          <w:sz w:val="28"/>
          <w:szCs w:val="28"/>
        </w:rPr>
        <w:t>. и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2027гг</w:t>
      </w:r>
      <w:r>
        <w:rPr>
          <w:color w:val="000000"/>
          <w:sz w:val="28"/>
          <w:szCs w:val="28"/>
        </w:rPr>
        <w:t>. соответствует ст.184.2 БК РФ в действующей редакции.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Заключение Контрольно-счетного органа Лухского муниципального района подготовлено согласно  соглашению о передаче части полномочий по осуществлению внешнего финансового контроля от </w:t>
      </w:r>
      <w:r>
        <w:rPr>
          <w:color w:val="000000"/>
          <w:sz w:val="28"/>
          <w:szCs w:val="28"/>
          <w:lang w:val="en-US"/>
        </w:rPr>
        <w:t>30.01.2024</w:t>
      </w:r>
      <w:r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567" w:leader="none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Общая характеристика проекта Решения Совета  Рябовского сельского поселения «О бюджете  Рябовского сельского поселения на 202</w:t>
      </w:r>
      <w:r>
        <w:rPr>
          <w:b/>
          <w:color w:val="000000"/>
          <w:sz w:val="28"/>
          <w:szCs w:val="28"/>
          <w:lang w:val="en-US"/>
        </w:rPr>
        <w:t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  <w:lang w:val="en-US"/>
        </w:rPr>
        <w:t>6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2027гг</w:t>
      </w:r>
      <w:r>
        <w:rPr>
          <w:b/>
          <w:color w:val="000000"/>
          <w:sz w:val="28"/>
          <w:szCs w:val="28"/>
        </w:rPr>
        <w:t>.»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Согласно бюджетному законодательству, за сельским поселением на постоянной основе закреплены конкретные налоговые и неналоговые доходы, они самостоятельно определяют свои расходные обязательства в рамках закрепленных полномочий.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соответствии со ст. 184.1 БК РФ проект содержит следующие основные характеристики:</w:t>
      </w:r>
    </w:p>
    <w:p>
      <w:pPr>
        <w:pStyle w:val="Normal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бщий объем на 202</w:t>
      </w:r>
      <w:r>
        <w:rPr>
          <w:bCs/>
          <w:color w:val="000000"/>
          <w:sz w:val="28"/>
          <w:szCs w:val="28"/>
          <w:lang w:val="en-US"/>
        </w:rPr>
        <w:t>5</w:t>
      </w:r>
      <w:r>
        <w:rPr>
          <w:bCs/>
          <w:color w:val="000000"/>
          <w:sz w:val="28"/>
          <w:szCs w:val="28"/>
        </w:rPr>
        <w:t xml:space="preserve"> год: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доходы, всего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8 326 710,14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 расходы, всего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8 326 710,14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дефицит (профицит), всего 0,00 тыс.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Общий объем на 202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год: 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 доходы, всего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6 861 256,81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 расходы, всего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6 861 256,81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дефицит (профицит), всего 0,00 тыс.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Общий объем на 202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год: 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 доходы, всего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5 953 596,81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tabs>
          <w:tab w:val="clear" w:pos="709"/>
          <w:tab w:val="left" w:pos="567" w:leader="none"/>
        </w:tabs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 расходы, всего 5 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953 596,81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дефицит (профицит), всего 0,00 тыс. руб.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Проект бюджета Рябовского сельского поселения сформирован без дефицита, что отражает его сбалансированность.</w:t>
      </w:r>
    </w:p>
    <w:p>
      <w:pPr>
        <w:pStyle w:val="NoSpacing"/>
        <w:ind w:left="0" w:right="0" w:firstLine="567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Общая характеристика доходной части бюджета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 данным проекта бюджета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 год общий объем доходов предусмотрен в сумме </w:t>
      </w:r>
      <w:r>
        <w:rPr>
          <w:rFonts w:cs="Times New Roman"/>
          <w:bCs/>
          <w:color w:val="000000"/>
          <w:sz w:val="28"/>
          <w:szCs w:val="28"/>
          <w:lang w:val="en-US"/>
        </w:rPr>
        <w:t>8 326 710,14</w:t>
      </w:r>
      <w:r>
        <w:rPr>
          <w:color w:val="000000"/>
          <w:sz w:val="28"/>
          <w:szCs w:val="28"/>
        </w:rPr>
        <w:t xml:space="preserve"> руб., с учетом безвозмездных поступлений от  других бюджетов бюджетной системы РФ, что на 1 949 192,00 руб. или  на 19,0 % меньше  ожидаемой оценки 202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г. На  плановый  2026г.   проектом  предусмотрены  доходы   в  сумме 6 861 256,81 руб. и уменьшение к уровню 2025 г. на 1 465 453,33 руб. или 17,2%, на 2027г. Предусмотрено  5 953 596,81 руб., уменьшение к уровню 2026 года составляет 907 660,00 руб. (13,2%).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Поступление собственных доходов бюджета (ст. 47 БК РФ)  на 202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 прогнозируется в сумме 185 000,0руб., по сравнению с ожидаемым исполнением за 202</w:t>
      </w:r>
      <w:r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 сумма поступлений уменьшится на 1</w:t>
      </w:r>
      <w:r>
        <w:rPr>
          <w:color w:val="000000"/>
          <w:sz w:val="28"/>
          <w:szCs w:val="28"/>
          <w:lang w:val="en-US"/>
        </w:rPr>
        <w:t>24 864,25</w:t>
      </w:r>
      <w:r>
        <w:rPr>
          <w:color w:val="000000"/>
          <w:sz w:val="28"/>
          <w:szCs w:val="28"/>
        </w:rPr>
        <w:t xml:space="preserve">руб. или на </w:t>
      </w:r>
      <w:r>
        <w:rPr>
          <w:color w:val="000000"/>
          <w:sz w:val="28"/>
          <w:szCs w:val="28"/>
          <w:lang w:val="en-US"/>
        </w:rPr>
        <w:t>40,3</w:t>
      </w:r>
      <w:r>
        <w:rPr>
          <w:color w:val="000000"/>
          <w:sz w:val="28"/>
          <w:szCs w:val="28"/>
        </w:rPr>
        <w:t>%.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Безвозмездные поступления из бюджетов разных уровней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заложены в проекте бюджета в сумме </w:t>
      </w:r>
      <w:r>
        <w:rPr>
          <w:color w:val="000000"/>
          <w:sz w:val="28"/>
          <w:szCs w:val="28"/>
          <w:lang w:val="en-US"/>
        </w:rPr>
        <w:t>8 141 710,14</w:t>
      </w:r>
      <w:r>
        <w:rPr>
          <w:color w:val="000000"/>
          <w:sz w:val="28"/>
          <w:szCs w:val="28"/>
        </w:rPr>
        <w:t xml:space="preserve"> руб. или на 1 824 327,75 руб. (18,3%) меньше ожидаемой оценки 2024г. На плановый период 2026года планируются безвозмездные поступления в сумме 6 676 256,81руб. или уменьшение к 2025 году  на 1 465 453,33 руб. (18,0%), на 2027 год -  5 768 596,81руб. и уменьшение к уровню  2026 года на 907 660,0руб.  (13,4%).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Размер дотации на выравнивание уровня бюджетной обеспеченности сельскому поселению  определен на 2025  год в сумме  5 685 000,0 руб.,  на плановый период  2026-2027гг. – 4 674 800,0 руб. и 3 760 900,0 руб. соответственно.  </w:t>
      </w:r>
    </w:p>
    <w:p>
      <w:pPr>
        <w:pStyle w:val="Normal"/>
        <w:ind w:left="0" w:right="0" w:firstLine="567"/>
        <w:jc w:val="both"/>
        <w:rPr>
          <w:color w:val="000000"/>
        </w:rPr>
      </w:pPr>
      <w:bookmarkStart w:id="0" w:name="_GoBack"/>
      <w:r>
        <w:rPr>
          <w:color w:val="000000"/>
          <w:sz w:val="28"/>
          <w:szCs w:val="28"/>
        </w:rPr>
        <w:t xml:space="preserve">Динамика всех уровней доходов местного бюджета представлена в следующей таблице. </w:t>
      </w:r>
      <w:bookmarkEnd w:id="0"/>
    </w:p>
    <w:tbl>
      <w:tblPr>
        <w:tblW w:w="106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89"/>
        <w:gridCol w:w="993"/>
        <w:gridCol w:w="993"/>
        <w:gridCol w:w="994"/>
        <w:gridCol w:w="996"/>
        <w:gridCol w:w="996"/>
        <w:gridCol w:w="997"/>
        <w:gridCol w:w="708"/>
        <w:gridCol w:w="708"/>
        <w:gridCol w:w="716"/>
      </w:tblGrid>
      <w:tr>
        <w:trPr>
          <w:trHeight w:val="435" w:hRule="atLeast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Ожид. показ. 2024 г.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Проект  решения на 2025г. и плановый период 2026-2027гг.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% отклонение</w:t>
            </w:r>
          </w:p>
        </w:tc>
      </w:tr>
      <w:tr>
        <w:trPr>
          <w:trHeight w:val="310" w:hRule="atLeast"/>
        </w:trPr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2027г</w:t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Собственные доходы, всего, в т.ч.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124,9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  <w:lang w:val="ru-RU"/>
              </w:rPr>
              <w:t>0,3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-налоговые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-80,8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  <w:lang w:val="ru-RU"/>
              </w:rPr>
              <w:t>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-неналоговые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--44,1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Безвозмезд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ные поступления в том числе: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9 966,0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8 141,7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6 676,3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5 768,6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-1 824,3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-927,2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6 770,5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7 182,6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5 702,1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4 788,1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1 480,5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  <w:r>
              <w:rPr>
                <w:color w:val="000000"/>
                <w:sz w:val="20"/>
                <w:szCs w:val="20"/>
                <w:lang w:val="ru-RU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20,6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  <w:lang w:val="ru-RU"/>
              </w:rPr>
              <w:t>6,0</w:t>
            </w:r>
          </w:p>
        </w:tc>
      </w:tr>
      <w:tr>
        <w:trPr/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-399,7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173,2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9,6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2 657,3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766,3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  <w:lang w:val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en-US"/>
              </w:rPr>
              <w:t>10 275,9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8 326,7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6 861,3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5 953,6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-1 949,2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-1 465,4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-907,7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-19,0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-13,2</w:t>
            </w:r>
          </w:p>
        </w:tc>
      </w:tr>
    </w:tbl>
    <w:p>
      <w:pPr>
        <w:pStyle w:val="Normal"/>
        <w:ind w:left="0" w:right="0" w:firstLine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Налог на доходы физических лиц</w:t>
      </w:r>
    </w:p>
    <w:p>
      <w:pPr>
        <w:pStyle w:val="NoSpacing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Поступление налога на доходы физических лиц в бюджет в 2025-2027г.г. прогнозируется в сумме 37 000,0 руб. ежегодно. Доля налога на доходы физических лиц в структуре прогноза налоговых доходов  в бюджете поселения на 2025-2027 г.г.  составит 20,0 % ежегодно. Прогноз поступления налога на доходы физических лиц рассчитан исходя из показателя прогноза социально-экономического развития по Рябовскому сельскому поселению.  При  расчете налога было учтено не стабильное экономическое состояние сельскохозяйственных  предприятий и как следствие этого уменьшение расходов на заработную плату. </w:t>
      </w:r>
    </w:p>
    <w:p>
      <w:pPr>
        <w:pStyle w:val="NoSpacing"/>
        <w:ind w:left="0" w:right="0" w:firstLine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Ожидаемое поступление налога на доходы физических лиц в 2024 году составит 55 000,0 руб.</w:t>
      </w:r>
    </w:p>
    <w:p>
      <w:pPr>
        <w:pStyle w:val="Style22"/>
        <w:spacing w:before="0" w:after="0"/>
        <w:ind w:left="0" w:right="0" w:firstLine="426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Налоги на совокупный доход</w:t>
      </w:r>
    </w:p>
    <w:p>
      <w:pPr>
        <w:pStyle w:val="Style22"/>
        <w:spacing w:before="0" w:after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структуре прогноза налоговых доходов в бюджете поселения на 2025 год и плановый период 2026 и 2027 годов составит 30,0%.</w:t>
      </w:r>
    </w:p>
    <w:p>
      <w:pPr>
        <w:pStyle w:val="Style22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Указанный налог зачисляется в бюджет поселения по нормативу 30%. </w:t>
      </w:r>
      <w:r>
        <w:rPr>
          <w:rFonts w:cs="Times New Roman"/>
          <w:color w:val="000000"/>
          <w:sz w:val="28"/>
          <w:szCs w:val="28"/>
        </w:rPr>
        <w:t>Поступление налога на совокупный доход в бюджет в 2025-2027г.г. прогнозируется в сумме 55 500,0 руб. ежегодно.</w:t>
      </w:r>
      <w:r>
        <w:rPr>
          <w:color w:val="000000"/>
          <w:sz w:val="28"/>
          <w:szCs w:val="28"/>
        </w:rPr>
        <w:t xml:space="preserve"> Оценка ожидаемого поступления в 2024 году составляет 85 744,05 руб.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426"/>
        <w:jc w:val="center"/>
        <w:outlineLvl w:val="1"/>
        <w:rPr>
          <w:color w:val="000000"/>
        </w:rPr>
      </w:pPr>
      <w:r>
        <w:rPr>
          <w:b/>
          <w:color w:val="000000"/>
          <w:sz w:val="28"/>
          <w:szCs w:val="28"/>
        </w:rPr>
        <w:t>Налоги на имущество</w:t>
      </w:r>
    </w:p>
    <w:p>
      <w:pPr>
        <w:pStyle w:val="NoSpacing"/>
        <w:spacing w:before="0" w:after="0"/>
        <w:ind w:left="0" w:right="0" w:firstLine="42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Налоги на имущество в структуре прогноза налоговых доходов бюджета поселения на 2025год составляют 50,0%. Наибольшая доля поступлений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по налогу на имущество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приходится на земельный налог </w:t>
      </w:r>
      <w:r>
        <w:rPr>
          <w:rFonts w:eastAsia="Symbol" w:cs="Symbol" w:ascii="Symbol" w:hAnsi="Symbol"/>
          <w:color w:val="000000"/>
          <w:sz w:val="28"/>
          <w:szCs w:val="28"/>
        </w:rPr>
        <w:t xml:space="preserve"> </w:t>
      </w:r>
      <w:r>
        <w:rPr>
          <w:rFonts w:cs="Times New Roman" w:ascii="Times New Roman" w:hAnsi="Times New Roman"/>
          <w:color w:val="000000"/>
          <w:sz w:val="28"/>
          <w:szCs w:val="28"/>
        </w:rPr>
        <w:t>94,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%.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Прогноз поступлений налога на имущество физических лиц в плановом периоде  2025–2027 годов составит  5 000руб. ежегодно.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Прогноз поступлений по земельному налогу в 2025 году и плановом периоде 2026-2027 годов  составляет 87 500 рублей соответственно 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 ожидаемого поступления  в 2024 г. составляет 125 000,0 руб.</w:t>
      </w:r>
    </w:p>
    <w:p>
      <w:pPr>
        <w:pStyle w:val="Normal"/>
        <w:ind w:left="0" w:right="0" w:firstLine="426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Неналоговые доходы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Поступление неналоговых доходов бюджета Рябовского сельского поселения в 2025-2027годах не планируется.</w:t>
      </w:r>
    </w:p>
    <w:p>
      <w:pPr>
        <w:pStyle w:val="Normal"/>
        <w:ind w:left="0" w:right="0" w:firstLine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Прогноз поступления в 2024 г. составит 44 120,2 руб.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Безвозмездные поступления</w:t>
      </w:r>
    </w:p>
    <w:p>
      <w:pPr>
        <w:pStyle w:val="2"/>
        <w:ind w:left="0" w:right="0" w:hanging="0"/>
        <w:rPr>
          <w:color w:val="000000"/>
        </w:rPr>
      </w:pP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В составе указанной группы доходов предусмотрены безвозмездные  поступления от других бюджетов бюджетной системы Российской Федерации:</w:t>
      </w:r>
    </w:p>
    <w:p>
      <w:pPr>
        <w:pStyle w:val="NoSpacing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из областного бюджета  в виде дотаций, субсидий, субвенций на 2025 год в сумме 7 340 707,14руб., на плановый период 2026- 2027 годов в сумме   5 875 253,81руб. и 4 967 593,81руб. соответственно;</w:t>
      </w:r>
    </w:p>
    <w:p>
      <w:pPr>
        <w:pStyle w:val="NoSpacing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из бюджета муниципального района: иные межбюджетные трансферты – 801 003,  руб., определенные в соответствии с проектом решения «О районном бюджете на 2025 год и на плановый период 2026 и 2027годов».</w:t>
      </w:r>
    </w:p>
    <w:p>
      <w:pPr>
        <w:pStyle w:val="NoSpacing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Объем безвозмездных поступлений в общей сумме доходов бюджета поселения в 2025 году составит 97,8%.</w:t>
      </w:r>
    </w:p>
    <w:p>
      <w:pPr>
        <w:pStyle w:val="2"/>
        <w:ind w:left="0" w:right="0" w:firstLine="567"/>
        <w:rPr>
          <w:color w:val="000000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Данные о безвозмездных поступлениях представлены в таблице:</w:t>
      </w:r>
    </w:p>
    <w:p>
      <w:pPr>
        <w:pStyle w:val="2"/>
        <w:ind w:left="0" w:right="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2"/>
        <w:ind w:left="0" w:right="0" w:hanging="0"/>
        <w:jc w:val="center"/>
        <w:rPr>
          <w:color w:val="000000"/>
        </w:rPr>
      </w:pPr>
      <w:r>
        <w:rPr>
          <w:b/>
          <w:color w:val="000000"/>
          <w:szCs w:val="28"/>
        </w:rPr>
        <w:t>Безвозмездные поступления</w:t>
      </w:r>
    </w:p>
    <w:p>
      <w:pPr>
        <w:pStyle w:val="2"/>
        <w:ind w:left="0" w:right="0" w:firstLine="567"/>
        <w:jc w:val="right"/>
        <w:rPr>
          <w:color w:val="000000"/>
        </w:rPr>
      </w:pPr>
      <w:r>
        <w:rPr>
          <w:color w:val="000000"/>
          <w:sz w:val="24"/>
          <w:szCs w:val="24"/>
        </w:rPr>
        <w:t>(тыс. руб.)</w:t>
      </w:r>
    </w:p>
    <w:p>
      <w:pPr>
        <w:pStyle w:val="2"/>
        <w:ind w:left="0" w:right="0" w:firstLine="567"/>
        <w:jc w:val="right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851"/>
        <w:gridCol w:w="1430"/>
        <w:gridCol w:w="1556"/>
        <w:gridCol w:w="1635"/>
      </w:tblGrid>
      <w:tr>
        <w:trPr>
          <w:trHeight w:val="517" w:hRule="atLeast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2025год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2026год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2027год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Безвозмездные поступления – всего: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lang w:val="ru-RU"/>
              </w:rPr>
              <w:t>9 966,0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lang w:val="ru-RU"/>
              </w:rPr>
              <w:t>8 141,7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lang w:val="ru-RU"/>
              </w:rPr>
              <w:t>6 676,2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5 7</w:t>
            </w:r>
            <w:r>
              <w:rPr>
                <w:b/>
                <w:color w:val="000000"/>
                <w:sz w:val="20"/>
                <w:lang w:val="ru-RU"/>
              </w:rPr>
              <w:t>68,6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- дотации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6 770,5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7 182,6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5 702,0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4 788,1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- субсидии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399,7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- субвенции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138,5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158,1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173,2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179,5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- иные межбюджетные трансферты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2 657,3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801,0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801,0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801,0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>
      <w:pPr>
        <w:pStyle w:val="Normal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Наибольший удельный вес в общем объеме безвозмездных поступлений занимают дотации:</w:t>
      </w:r>
    </w:p>
    <w:p>
      <w:pPr>
        <w:pStyle w:val="Normal"/>
        <w:spacing w:lineRule="auto" w:line="240" w:before="0" w:after="200"/>
        <w:contextualSpacing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-дотация на выравнивание бюджетной обеспеченности</w:t>
      </w:r>
      <w:r>
        <w:rPr>
          <w:rFonts w:eastAsia="Times New Roman" w:cs="Times New Roman"/>
          <w:color w:val="000000"/>
          <w:sz w:val="28"/>
          <w:szCs w:val="28"/>
        </w:rPr>
        <w:t>, размер которой в 2025 году определен бюджету Рябовского сельского поселения в размере       5 685 000 руб., на плановый период 2026 – 2027гг. –  4 674 800,00 руб.,               3 760 900,00 руб. соответственно;</w:t>
      </w:r>
    </w:p>
    <w:p>
      <w:pPr>
        <w:pStyle w:val="Normal"/>
        <w:spacing w:lineRule="auto" w:line="240" w:before="0" w:after="20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-дотация на частичную компенсацию дополнительных расходов на повышение оплаты труда работников бюджетной сферы и иные цели, размер которой в 2025 году определен бюджету Рябовского сельского поселения в размере 1 497 567,14руб., на плановый период 2026 – 2027гг. –   1 027233,81 руб.  соответственно на каждый год.</w:t>
      </w:r>
    </w:p>
    <w:p>
      <w:pPr>
        <w:pStyle w:val="Normal"/>
        <w:spacing w:lineRule="auto" w:line="240" w:before="0" w:after="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     </w:t>
      </w:r>
      <w:r>
        <w:rPr>
          <w:rFonts w:eastAsia="Times New Roman" w:cs="Times New Roman"/>
          <w:color w:val="000000"/>
          <w:sz w:val="28"/>
          <w:szCs w:val="28"/>
        </w:rPr>
        <w:t>На финансовое обеспечение полномочий субъекта Российской Федерации, предусматриваются субвенции и субсидии:</w:t>
      </w:r>
    </w:p>
    <w:p>
      <w:pPr>
        <w:pStyle w:val="Normal"/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- на осуществление первичного воинского учета на территориях, где отсутствуют военные комиссариаты  в 2025 году -  158 140,00 руб.; на плановый период 2026 — 2027 г.г.  - 173 220,00 руб., 179 460 руб. соответственно.</w:t>
      </w:r>
    </w:p>
    <w:p>
      <w:pPr>
        <w:pStyle w:val="Normal"/>
        <w:spacing w:lineRule="auto" w:line="240" w:before="0" w:after="120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     </w:t>
      </w:r>
      <w:r>
        <w:rPr>
          <w:rFonts w:eastAsia="Times New Roman" w:cs="Times New Roman"/>
          <w:color w:val="000000"/>
          <w:sz w:val="28"/>
          <w:szCs w:val="28"/>
        </w:rPr>
        <w:t>В соответствии с проектом решения «О районном бюджете на 2025 год и на плановый период 2026 и 20276 годов» в бюджете Рябовского сельского поселения предусматриваются:</w:t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- межбюджетные трансферты, передаваемые бюджетам поселений из бюджета Лухского муниципальных района на осуществление части полномочий по решению вопросов местного значения в соответствии с заключенными соглашениями на 2025-2027 годы – по 801 003,00 руб. ежегодно.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Общая характеристика расходной части бюджета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Расходы проекта бюджета  Рябовского сельского поселения  на 2025 год предусмотрены  в целом в сумме  8 326 710,14 руб., на плановый период 2026 - 2027 года – 6 861 256,81 руб. и 5 953 596,81 руб. соответственно.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Структура расходов бюджета  построена на исполнение принятых расходных обязательств  Рябовского сельского поселения. За основу приняты показатели ожидаемого исполнения местного бюджета сельского поселения за 2024 год с учетом уточнений по следующим направлениям: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-оптимизация действующих расходных обязательств и перераспределение ресурсов на  решение приоритетных задач;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-обеспечение достижения значений целевых индикаторов, определенных указами Президента Российской Федерации, включая повышение заработной платы отдельным категориям работников учреждений бюджетной сферы;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-соблюдение программного принципа построения бюджета;</w:t>
      </w:r>
    </w:p>
    <w:p>
      <w:pPr>
        <w:pStyle w:val="NoSpacing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-определение «базовых» объемов бюджетных ассигнований на 2025-2027 годы на уровне 2024года.</w:t>
      </w:r>
    </w:p>
    <w:p>
      <w:pPr>
        <w:pStyle w:val="Default"/>
        <w:ind w:left="0" w:right="0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Default"/>
        <w:ind w:left="0" w:right="0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Default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Программная структура расходов бюджета поселения на 2025 год и плановый период 2026 и 2027 годов представлена следующим образом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соответствии с требованиями бюджетного законодательства проект бюджета сформирован в программной структуре расходов на основе муниципальных программ Рябовского сельского поселения.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Перечень муниципальных программ, утвержденный постановлением администрации Рябовского сельского поселения от 21.11.2016г. № 107, содержит восемь муниципальных программ.</w:t>
      </w:r>
    </w:p>
    <w:p>
      <w:pPr>
        <w:pStyle w:val="Normal"/>
        <w:jc w:val="both"/>
        <w:rPr/>
      </w:pPr>
      <w:r>
        <w:rPr>
          <w:rStyle w:val="FontStyle11"/>
          <w:b w:val="false"/>
          <w:color w:val="000000"/>
          <w:sz w:val="28"/>
          <w:szCs w:val="28"/>
        </w:rPr>
        <w:t xml:space="preserve">    </w:t>
      </w:r>
      <w:r>
        <w:rPr>
          <w:rStyle w:val="FontStyle11"/>
          <w:b w:val="false"/>
          <w:color w:val="000000"/>
          <w:sz w:val="28"/>
          <w:szCs w:val="28"/>
        </w:rPr>
        <w:t>Согласно Порядка разработки, реализации и оценки эффективности программ Рябовского сельского поселения, утвержденного постановлением главы администрации Рябовского сельского поселения от 30.10.2013 № 64а, на момент подготовки экспертного заключения по формированию бюджета Рябовского сельского поселения на 2025-2027 гг. в Контрольно-счетный орган представлено 8 паспортов муниципальных программ, финансирование по которым предусмотрено проектом бюджета.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Наибольший удельный вес в структуре расходов на 2025 год составляют программные расходы  - 92,9 %, на 2026 год – 96,6%, на 2027 год – 95,9%.      Муниципальными программами не охвачено в 2025г. 7,1 % или 591 240,0  руб. от общих расходов бюджет, в 2026 году -  3,4%, в 2027году – 4,1%.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Наибольшая доля программных расходов приходится на программу «Эффективная реализация органами местного самоуправления полномочий по решению вопросов местного значения» в 2025г. -  37,4%, на плановый период 2026- 44,6%, 2027г.- 52,9% , а также «Культура  Рябовского сельского поселения»  в 2025 г.- 44,0%, в 2026- 37,8%, 2027г.- 23,8%.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проекте бюджета учтена реализация следующих муниципальных  программ: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Муниципальная программа Рябовского сельского поселения </w:t>
      </w:r>
      <w:r>
        <w:rPr>
          <w:b/>
          <w:color w:val="000000"/>
          <w:sz w:val="28"/>
          <w:szCs w:val="28"/>
        </w:rPr>
        <w:t xml:space="preserve">«Эффективная реализация органами местного самоуправления полномочий по решению вопросов местного значения»,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 от 10.11.2017г. № 79, постановлением администрации  от 11.11.2024г. № 42  в данную программу внесены  изменения, утвердив расходные ассигнования на 2025г. и плановый период 2026 - 2027гг. по 2 893 899,0 руб. ежегодно. Проектом бюджета установлен аналогичный объем финансирования программы. Срок реализации программы 2017-2027 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Цель программы – совершенствование управления муниципальными финансами.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рамках данной программы имеются одна специальная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«Обеспечение деятельности органов местного самоуправления администрации Рябовского сельского поселения»;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 одна аналитическая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«Обеспечение финансирования непредвиденных расходов». 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«Обеспечение безопасности граждан и правоохранительная деятельность на территории Рябовского сельского поселения»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от 10.11.2017г. №78, постановлением администрации  от  11.11.2024г. № 41  в данную программу внесены  изменения, утвердив расходные ассигнования на 2025-2027 год в сумме 100 000,0 руб., ежегодно. Проектом бюджета установлен аналогичный объем финансирования программы. Срок реализации программы 2017-2027гг.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Целями программы являются: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уменьшение количества пожаров, снижение рисков возникновения и смягчения последствий чрезвычайных ситуаций; снижение числа травмированных и погибших на пожарах; сокращение материальных потерь от пожаров; создание необходимых условий для обеспечения пожарной безопасности, защиты жизни и здоровья граждан и т.д.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Согласно  паспорта данной программы имеется одна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«</w:t>
      </w:r>
      <w:r>
        <w:rPr>
          <w:color w:val="000000"/>
          <w:sz w:val="28"/>
          <w:szCs w:val="28"/>
          <w:shd w:fill="FFFFFF" w:val="clear"/>
        </w:rPr>
        <w:t>Обеспечение безопасности граждан и правоохранительная деятельность на территории Рябовского сельского поселения</w:t>
      </w:r>
      <w:r>
        <w:rPr>
          <w:color w:val="000000"/>
          <w:sz w:val="28"/>
          <w:szCs w:val="28"/>
        </w:rPr>
        <w:t xml:space="preserve">».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«Национальная экономика. Развитие автомобильных дорог общего пользования местного значения Рябовского сельского поселения Лухского муниципального района»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от 10.11.2017 г. №80, постановлением администрации  от 11.11.2024г. № 43  в данную программу внесены  изменения утвердив лимиты бюджетных назначений на 2025-2027 гг. по 641 003,0 руб. ежегодно. Проектом бюджета установлен аналогичный объем финансирования программы. Срок реализации программы 2017-2027гг.</w:t>
      </w:r>
    </w:p>
    <w:p>
      <w:pPr>
        <w:pStyle w:val="Western"/>
        <w:shd w:val="clear" w:fill="FFFFFF"/>
        <w:spacing w:before="58" w:after="5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Целями программы являются:</w:t>
      </w:r>
    </w:p>
    <w:p>
      <w:pPr>
        <w:pStyle w:val="Western"/>
        <w:shd w:val="clear" w:fill="FFFFFF"/>
        <w:spacing w:before="58" w:after="5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содержание дорожной сети, соответствующей потребностям населения; повышение безопасности дорожного движения; сокращение транспортных издержек, а также достижение требуемого технического и эксплуатационного состояния автомобильных дорог общего пользования местного значения, формирование благоприятных условий для стабильного социально-экономического развития Рябовского сельского поселения Лухского муниципального района;</w:t>
      </w:r>
    </w:p>
    <w:p>
      <w:pPr>
        <w:pStyle w:val="Western"/>
        <w:shd w:val="clear" w:fill="FFFFFF"/>
        <w:spacing w:before="58" w:after="5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создание организационно-правовых и экономических условий для обеспечения качественного содержания, текущего ремонта, находящихся в муниципальной собственности.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данной программе имеются две  подпрограммы: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«Иные межбюджетные трансферты»; 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«Межбюджетные трансферты</w:t>
      </w:r>
      <w:r>
        <w:rPr>
          <w:color w:val="000000"/>
          <w:sz w:val="28"/>
          <w:szCs w:val="28"/>
          <w:shd w:fill="FFFFFF" w:val="clear"/>
        </w:rPr>
        <w:t xml:space="preserve"> на проведение отдельных мероприятий по другим видам транспорта</w:t>
      </w:r>
      <w:r>
        <w:rPr>
          <w:color w:val="000000"/>
          <w:sz w:val="28"/>
          <w:szCs w:val="28"/>
        </w:rPr>
        <w:t xml:space="preserve">».  </w:t>
      </w:r>
    </w:p>
    <w:p>
      <w:pPr>
        <w:pStyle w:val="Normal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«Организация мероприятий, направленных на развитие жилищно-коммунального хозяйства и благоустройства Рябовского сельского поселения», </w:t>
      </w:r>
      <w:r>
        <w:rPr>
          <w:color w:val="000000"/>
          <w:sz w:val="28"/>
          <w:szCs w:val="28"/>
        </w:rPr>
        <w:t>программа утверждена постановлением администрации Рябовского сельского поселения  от  10.11.2017 г. № 81, постановлением администрации  от 11.11.2024г. № 44  в данную программу внесены  изменения, утвердив расходные ассигнования на 2025 год в сумме 593 568,14 руб., на плановый период 2026-2027гг. – 290 801,81 руб. и 429 574,81 руб. соответственно. Проектом бюджета установлен аналогичный объем финансирования программы. Срок реализации программы 2017-2027 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Цели программы: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повышение эффективности управления и распоряжения муниципальной собственностью сельского поселения, земельными участками, находящимися в муниципальной и государственной собственности;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повышение уровня внешнего благоустройства и санитарного содержания населенных пунктов Рябовского сельского поселения;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совершенствование эстетического вида Рябовского сельского поселения;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повышение общего уровня благоустройства территории сельского поселения для обеспечения максимально благоприятных, комфортных условий для проживания и отдыха населения;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улучшение экологической ситуации на территории Рябовского сельского поселения.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рамках данной программы имеется две подпрограмм: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«Организация водоснабжения населения Рябовского сельского поселения».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«Благоустройство и содержание муниципального имущества Рябовского сельского поселения». </w:t>
      </w:r>
    </w:p>
    <w:p>
      <w:pPr>
        <w:pStyle w:val="Normal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«Культура Рябовского сельского поселения».</w:t>
      </w:r>
      <w:r>
        <w:rPr>
          <w:color w:val="000000"/>
          <w:sz w:val="28"/>
          <w:szCs w:val="28"/>
        </w:rPr>
        <w:t xml:space="preserve">  Программа утверждена постановлением администрации Рябовского сельского поселения от 10.11.2017 г. № 82, постановлением администрации  от 11.11.2024г. № 45  в данную программу внесены  изменения, утвердив расходные ассигнования на 2025 год в сумме    3 400 000,0 руб., на плановый период 2026г. – 2 455 157,00 руб., 2027г.г. –                  1 301 003,0 руб. Проектом бюджета установлен аналогичный объем финансирования. Срок реализации данной программы – 2017-2027гг.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Цель  программы – развитие культуры на территории Рябовского сельского поселения.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данной программе имеется одна 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«Обеспечение деятельности подведомственных учреждений». 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«Социальная поддержка  граждан Рябовского сельского поселения»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от 10.11.2017 г. № 84 , постановлением администрации  от 11.11.2024г. № 46 в данную программу внесены  изменения, утвердив расходные ассигнования на 2025 год и плановый период 2026-2027гг. – 72 000,0 руб. ежегодно.      Проектом бюджета установлен аналогичный объем финансирования. Срок реализации данной программы – 2019-2027годы.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Цель программы – снижение социальной напряженности, повышение качества жизни граждан.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данной программе имеются одна аналитическая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«Пенсионное обеспечение отдельных категорий граждан».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Муниципальная программа Рябовского сельского поселения</w:t>
      </w:r>
      <w:r>
        <w:rPr>
          <w:b/>
          <w:color w:val="000000"/>
          <w:sz w:val="28"/>
          <w:szCs w:val="28"/>
        </w:rPr>
        <w:t xml:space="preserve"> «Развитие сельскохозяйственного производства, малого и среднего предпринимательства Рябовского сельского поселения»,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от 10.11.2017 г. № 77. В данную программу постановлением администрации Рябовского сельского поселения от 11.11.2024г. № 47 внесены  изменения, утвердив расходные ассигнования на 2025 год  в сумме 20 000,0  руб., на плановый период 2026-2027гг. – по 20 000,0   руб. ежегодно.  Проектом бюджета установлен аналогичный объем финансирования. Программа разработана на  период 2017-2027 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Цель Программы: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обеспечение условий для устойчивого развития личных подсобных хозяйств;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улучшение материального положения жи</w:t>
        <w:softHyphen/>
        <w:t>телей сельской местности;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создание экономических и организационных условий для эффективной деятельности личных подсобных хозяйств и их организаций;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расширение налогооблагаемой базы, создание новых рабочих мест, стабилизация  экономики Рябовского сельского поселения Лухского муниципального района.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Данная программа состоит из двух подпрограмм: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- «Развитие сельскохозяйственного производства, малого и среднего предпринимательства»;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- «Оформление права собственности и использование земельных ресурсов в Рябовском сельском поселении».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Муниципальная программа Рябовского сельского поселения </w:t>
      </w:r>
      <w:r>
        <w:rPr>
          <w:b/>
          <w:color w:val="000000"/>
          <w:sz w:val="28"/>
          <w:szCs w:val="28"/>
        </w:rPr>
        <w:t xml:space="preserve">«Развитие физической культуры, массового спорта и работа с детьми и молодежью» </w:t>
      </w:r>
      <w:r>
        <w:rPr>
          <w:color w:val="000000"/>
          <w:sz w:val="28"/>
          <w:szCs w:val="28"/>
        </w:rPr>
        <w:t>утверждена постановлением администрации Рябовского сельского поселения от 11.11.2024г. № 48. В данную программу постановлением администрации Рябовского сельского поселения от 10.11.2023г. №60 на 2025-2027гг. внесены изменения, утвердив сумму ассигнований на реализацию мероприятия программы на 2025 год и на  плановый период 2026-2027 годы – 15 000,0 руб. ежегодно. Проектом бюджета установлен аналогичный объем финансирования. Срок реализации программы 2017-2027гг.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Цель программы: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обеспечение доступности физкультурно-спортивных услуг всем слоям и категориям населения на территории Рябовского сельского поселения;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- создание условий для укрепления здоровья населения, популяризации массового спорта и приобщения различных слоев общества к регулярным занятиям физической культурой и спортом;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организация досуга детей и молодежи.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программу входит одна подпрограмма: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>- «Мероприятия в области физкультуры, спорта и работа с детьми и молодежью».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По итогам распределения бюджетных ассигнований по разделам, подразделам функциональной классификации наибольшая доля выделенных бюджетных ассигнований приходится на раздел 0100 «Общегосударственные вопросы» на 2024 год  доля ассигнований составляет </w:t>
      </w:r>
      <w:r>
        <w:rPr>
          <w:color w:val="000000"/>
          <w:sz w:val="28"/>
          <w:szCs w:val="28"/>
          <w:lang w:val="en-US"/>
        </w:rPr>
        <w:t>39,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ед. от общего объема расходных обязательств, на плановый период 2026г. – 43,1ед., 2027г. – 50,8 ед.,   по сравнению с 2024 годом, согласно оценке ожидаемого исполнения бюджета  (26,9 ед.) .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Далее наибольший удельный вес приходится на раздел 0800 «Культура», его доля на 2025г. составляет </w:t>
      </w:r>
      <w:r>
        <w:rPr>
          <w:color w:val="000000"/>
          <w:sz w:val="28"/>
          <w:szCs w:val="28"/>
          <w:lang w:val="ru-RU"/>
        </w:rPr>
        <w:t>40,8</w:t>
      </w:r>
      <w:r>
        <w:rPr>
          <w:color w:val="000000"/>
          <w:sz w:val="28"/>
          <w:szCs w:val="28"/>
        </w:rPr>
        <w:t xml:space="preserve"> ед. от общего объема расходных обязательств, на плановый период  2026 г. – </w:t>
      </w:r>
      <w:r>
        <w:rPr>
          <w:color w:val="000000"/>
          <w:sz w:val="28"/>
          <w:szCs w:val="28"/>
          <w:lang w:val="ru-RU"/>
        </w:rPr>
        <w:t>36,6</w:t>
      </w:r>
      <w:r>
        <w:rPr>
          <w:color w:val="000000"/>
          <w:sz w:val="28"/>
          <w:szCs w:val="28"/>
        </w:rPr>
        <w:t xml:space="preserve"> ед., в 2027г. – </w:t>
      </w:r>
      <w:r>
        <w:rPr>
          <w:color w:val="000000"/>
          <w:sz w:val="28"/>
          <w:szCs w:val="28"/>
          <w:lang w:val="ru-RU"/>
        </w:rPr>
        <w:t>22,8</w:t>
      </w:r>
      <w:r>
        <w:rPr>
          <w:color w:val="000000"/>
          <w:sz w:val="28"/>
          <w:szCs w:val="28"/>
        </w:rPr>
        <w:t xml:space="preserve"> ед., по сравнению с 2024 годом  согласно оценке ожидаемого исполнения бюджета (33,6 ед.).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 разделу 0500  «Жилищно-коммунальное хозяйство» в 2024 г. удельный вес от общего объема расходов ожидается 8,7 ед. На 202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 планируется </w:t>
      </w:r>
      <w:r>
        <w:rPr>
          <w:color w:val="000000"/>
          <w:sz w:val="28"/>
          <w:szCs w:val="28"/>
          <w:lang w:val="ru-RU"/>
        </w:rPr>
        <w:t>7,7</w:t>
      </w:r>
      <w:r>
        <w:rPr>
          <w:color w:val="000000"/>
          <w:sz w:val="28"/>
          <w:szCs w:val="28"/>
        </w:rPr>
        <w:t xml:space="preserve"> ед., на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г. –</w:t>
      </w:r>
      <w:r>
        <w:rPr>
          <w:color w:val="000000"/>
          <w:sz w:val="28"/>
          <w:szCs w:val="28"/>
          <w:lang w:val="ru-RU"/>
        </w:rPr>
        <w:t>5,1</w:t>
      </w:r>
      <w:r>
        <w:rPr>
          <w:color w:val="000000"/>
          <w:sz w:val="28"/>
          <w:szCs w:val="28"/>
        </w:rPr>
        <w:t xml:space="preserve"> ед., </w:t>
      </w:r>
      <w:r>
        <w:rPr>
          <w:color w:val="000000"/>
          <w:sz w:val="28"/>
          <w:szCs w:val="28"/>
          <w:lang w:val="en-US"/>
        </w:rPr>
        <w:t>202</w:t>
      </w:r>
      <w:r>
        <w:rPr>
          <w:color w:val="000000"/>
          <w:sz w:val="28"/>
          <w:szCs w:val="28"/>
          <w:lang w:val="ru-RU"/>
        </w:rPr>
        <w:t xml:space="preserve">7 </w:t>
      </w:r>
      <w:r>
        <w:rPr>
          <w:color w:val="000000"/>
          <w:sz w:val="28"/>
          <w:szCs w:val="28"/>
          <w:lang w:val="en-US"/>
        </w:rPr>
        <w:t>г</w:t>
      </w:r>
      <w:r>
        <w:rPr>
          <w:color w:val="000000"/>
          <w:sz w:val="28"/>
          <w:szCs w:val="28"/>
        </w:rPr>
        <w:t xml:space="preserve">.- </w:t>
      </w:r>
      <w:r>
        <w:rPr>
          <w:color w:val="000000"/>
          <w:sz w:val="28"/>
          <w:szCs w:val="28"/>
          <w:lang w:val="ru-RU"/>
        </w:rPr>
        <w:t>8.4</w:t>
      </w:r>
      <w:r>
        <w:rPr>
          <w:color w:val="000000"/>
          <w:sz w:val="28"/>
          <w:szCs w:val="28"/>
        </w:rPr>
        <w:t xml:space="preserve"> ед. По разделу 0400 «Национальная экономика» на 202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г. доля от общего объема расходных обязательств составляет </w:t>
      </w:r>
      <w:r>
        <w:rPr>
          <w:color w:val="000000"/>
          <w:sz w:val="28"/>
          <w:szCs w:val="28"/>
          <w:lang w:val="en-US"/>
        </w:rPr>
        <w:t>7,</w:t>
      </w:r>
      <w:r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 xml:space="preserve"> ед., на плановый период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г. – </w:t>
      </w:r>
      <w:r>
        <w:rPr>
          <w:color w:val="000000"/>
          <w:sz w:val="28"/>
          <w:szCs w:val="28"/>
          <w:lang w:val="en-US"/>
        </w:rPr>
        <w:t>9,</w:t>
      </w:r>
      <w:r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 xml:space="preserve"> ед., 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г. – </w:t>
      </w:r>
      <w:r>
        <w:rPr>
          <w:color w:val="000000"/>
          <w:sz w:val="28"/>
          <w:szCs w:val="28"/>
          <w:lang w:val="ru-RU"/>
        </w:rPr>
        <w:t>11,6</w:t>
      </w:r>
      <w:r>
        <w:rPr>
          <w:color w:val="000000"/>
          <w:sz w:val="28"/>
          <w:szCs w:val="28"/>
        </w:rPr>
        <w:t xml:space="preserve"> ед. в отчетном 202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году его доля ожидается (</w:t>
      </w:r>
      <w:r>
        <w:rPr>
          <w:color w:val="000000"/>
          <w:sz w:val="28"/>
          <w:szCs w:val="28"/>
          <w:lang w:val="ru-RU"/>
        </w:rPr>
        <w:t>8,7</w:t>
      </w:r>
      <w:r>
        <w:rPr>
          <w:color w:val="000000"/>
          <w:sz w:val="28"/>
          <w:szCs w:val="28"/>
        </w:rPr>
        <w:t xml:space="preserve"> ед.).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Анализ бюджетных ассигнований в разрезе функциональной классификации за отчетный период 202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 в сравнении с 202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годом и плановым периодом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 и  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годов  приведен в рисунке № 1: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/>
        <w:drawing>
          <wp:inline distT="0" distB="0" distL="0" distR="0">
            <wp:extent cx="5953125" cy="279844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Составление проекта бюджета основывается на социально-экономическом прогнозе  Рябовского сельского поселения (п.3.3. Положения о бюджетном процессе  в Рябовском сельском поселении). 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Проект бюджета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гг. соответствует основным направлениям бюджетной и налоговой политики Рябовского сельского поселения, утвержденными постановлением администрации  Рябовского сельского поселения от </w:t>
      </w:r>
      <w:r>
        <w:rPr>
          <w:color w:val="000000"/>
          <w:sz w:val="28"/>
          <w:szCs w:val="28"/>
          <w:lang w:val="en-US"/>
        </w:rPr>
        <w:t>11.11.2024г</w:t>
      </w:r>
      <w:r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  <w:lang w:val="en-US"/>
        </w:rPr>
        <w:t>39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Дефицит бюджета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Согласно статье 1 проекта бюджета Рябовского сельского поселения   дефицит  бюджета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гг.  не прогнозируется.                                                   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Условно утвержденные расходы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Согласно абзацу седьмому пункта 3 статьи 184.1 БК РФ проект решения устанавливает в пункте 1 части 3 статьи 5 общий объем условно утвержденных расходов на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г.  в объеме </w:t>
      </w:r>
      <w:r>
        <w:rPr>
          <w:color w:val="000000"/>
          <w:sz w:val="28"/>
          <w:szCs w:val="28"/>
          <w:lang w:val="ru-RU"/>
        </w:rPr>
        <w:t>147 176</w:t>
      </w:r>
      <w:r>
        <w:rPr>
          <w:color w:val="000000"/>
          <w:sz w:val="28"/>
          <w:szCs w:val="28"/>
          <w:lang w:val="en-US"/>
        </w:rPr>
        <w:t>,0</w:t>
      </w:r>
      <w:r>
        <w:rPr>
          <w:color w:val="000000"/>
          <w:sz w:val="28"/>
          <w:szCs w:val="28"/>
        </w:rPr>
        <w:t xml:space="preserve"> руб. ( не менее 2,5% общего объема расходов бюджета без учета расходов бюджета, предусмотренных за счет межбюджетных трансфертов из других бюджетов  бюджетной системы РФ, имеющих целевое назначение), на 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год в объеме </w:t>
      </w:r>
      <w:r>
        <w:rPr>
          <w:color w:val="000000"/>
          <w:sz w:val="28"/>
          <w:szCs w:val="28"/>
          <w:lang w:val="ru-RU"/>
        </w:rPr>
        <w:t>248 657</w:t>
      </w:r>
      <w:r>
        <w:rPr>
          <w:color w:val="000000"/>
          <w:sz w:val="28"/>
          <w:szCs w:val="28"/>
          <w:lang w:val="en-US"/>
        </w:rPr>
        <w:t xml:space="preserve">,0 </w:t>
      </w:r>
      <w:r>
        <w:rPr>
          <w:color w:val="000000"/>
          <w:sz w:val="28"/>
          <w:szCs w:val="28"/>
        </w:rPr>
        <w:t>руб. (не менее 5,0% общего объема расходов бюджета без учета расходов бюджета, предусмотренных за счет межбюджетных трансфертов из других бюджетов бюджетной системы РФ, имеющих целевое назначение).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Резервный фонд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 проекте бюджета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 xml:space="preserve">7 </w:t>
      </w:r>
      <w:r>
        <w:rPr>
          <w:color w:val="000000"/>
          <w:sz w:val="28"/>
          <w:szCs w:val="28"/>
        </w:rPr>
        <w:t xml:space="preserve">гг. заложены средства резервного фонда Рябовского сельского поселения в сумме по </w:t>
      </w: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  <w:lang w:val="en-US"/>
        </w:rPr>
        <w:t>000</w:t>
      </w:r>
      <w:r>
        <w:rPr>
          <w:color w:val="000000"/>
          <w:sz w:val="28"/>
          <w:szCs w:val="28"/>
        </w:rPr>
        <w:t>,0 руб. ежегодно.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Резервный фонд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>гг.  прогнозируется в проекте  бюджета  сельского поселения в соответствии с требованиями п. 3 ст.81 БК РФ, Порядка использования бюджетных ассигнований резервного фонда администрации  Рябовского сельского поселения,  утвержденного постановлением администрации Рябовского сельского поселения от 20.12.2012г. №62.</w:t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Муниципальные заимствования Рябовского сельского поселения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Привлечение и погашение бюджетных кредитов от других бюджетов бюджетной системы Российской Федерации (кредитных организаций), а также предоставление бюджетных кредитов другим бюджетам бюджетной системы Российской Федерации Рябовским сельским поселением в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en-US"/>
        </w:rPr>
        <w:t xml:space="preserve">7 </w:t>
      </w:r>
      <w:r>
        <w:rPr>
          <w:color w:val="000000"/>
          <w:sz w:val="28"/>
          <w:szCs w:val="28"/>
        </w:rPr>
        <w:t>годах не запланировано.</w:t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Муниципальные гарантии Рябовского сельского поселения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Предоставление и исполнение муниципальных гарантий Рябовским сельским поселением в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годах не запланировано.</w:t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Муниципальный долг Рябовского сельского поселения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Предельный объем муниципального долга Рябовского сельского поселения  на 2025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год и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годов запланировано в сумме 0,00 руб.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Верхний предел муниципального долга Рябовского сельского поселения на 01 января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года, на 01 января 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года и на 01 января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года запланирован в сумме 0,00 руб.</w:t>
      </w:r>
    </w:p>
    <w:p>
      <w:pPr>
        <w:pStyle w:val="Normal"/>
        <w:spacing w:before="0" w:after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Предельный объем расходов бюджета Рябовского сельского поселения на обслуживание муниципального долга  Рябовского сельского поселения на 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 xml:space="preserve"> годов запланирован в сумме 0,00 руб.</w:t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Выводы и предложения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 результатам  экспертно-аналитического мероприятия Контрольно-счетный орган Лухского муниципального района, позволяет сделать следующие основные выводы: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1.Проект решения Совета Рябовского сельского поселения «О бюджете Рябовского сельского поселения на 202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г. и плановый период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гг.» подготовлен в соответствии с Бюджетным  кодексом РФ, Положением о бюджетном процессе Рябовского сельского поселения, иными нормативными правовыми актами, регулирующими вопросы бюджетного планирования и бюджетной деятельности.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2.С проектом бюджета представлены все документы и материалы в соответствии со статьей 184.2 БК РФ, статьей 8 Положения о Бюджетном процессе.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3.Бюджет Рябовского сельского поселения на 2025год сформирован: 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доходам в сумме  </w:t>
      </w:r>
      <w:r>
        <w:rPr>
          <w:color w:val="000000"/>
          <w:sz w:val="28"/>
          <w:szCs w:val="28"/>
          <w:lang w:val="ru-RU"/>
        </w:rPr>
        <w:t>8 326 710,14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руб.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расходам в сумме </w:t>
      </w:r>
      <w:r>
        <w:rPr>
          <w:color w:val="000000"/>
          <w:sz w:val="28"/>
          <w:szCs w:val="28"/>
          <w:lang w:val="ru-RU"/>
        </w:rPr>
        <w:t xml:space="preserve">8 326 710,14 </w:t>
      </w:r>
      <w:r>
        <w:rPr>
          <w:color w:val="000000"/>
          <w:sz w:val="28"/>
          <w:szCs w:val="28"/>
        </w:rPr>
        <w:t>руб.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дефицит в сумме 0,0 руб.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Бюджет на плановый период 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гг. сформирован: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доходам </w:t>
      </w:r>
      <w:r>
        <w:rPr>
          <w:color w:val="000000"/>
          <w:sz w:val="28"/>
          <w:szCs w:val="28"/>
          <w:lang w:val="ru-RU"/>
        </w:rPr>
        <w:t>6 861 256,81</w:t>
      </w:r>
      <w:r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и</w:t>
      </w:r>
      <w:r>
        <w:rPr>
          <w:color w:val="000000"/>
          <w:sz w:val="28"/>
          <w:szCs w:val="28"/>
          <w:lang w:val="ru-RU"/>
        </w:rPr>
        <w:t xml:space="preserve"> 5 953 596,81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руб. соответственно. К уровню 2025 года в 2026 году предполагается уменьшение доходов на 17,6%, в 2027г. к уровню 2026г. предполагается уменьшение доходов на 13,2%.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расходам </w:t>
      </w:r>
      <w:r>
        <w:rPr>
          <w:color w:val="000000"/>
          <w:sz w:val="28"/>
          <w:szCs w:val="28"/>
          <w:lang w:val="ru-RU"/>
        </w:rPr>
        <w:t>6 861 256,81</w:t>
      </w:r>
      <w:r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и</w:t>
      </w:r>
      <w:r>
        <w:rPr>
          <w:color w:val="000000"/>
          <w:sz w:val="28"/>
          <w:szCs w:val="28"/>
          <w:lang w:val="ru-RU"/>
        </w:rPr>
        <w:t xml:space="preserve"> 5 953 596,81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руб. соответственно. К уровню 2025 года в 2026 году предполагается уменьшение расходов на 17,6%, в 2027г. к уровню 2026 г. предполагается уменьшение расходов на 13,2%.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Доходы бюджета поселения (без учета безвозмездных поступлений) планируются в следующих объемах: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2025 год – 185 000,0  руб.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2026 год – 185 000,0  руб.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2027 год – 185 000,0  руб.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5.Объем безвозмездных поступлений в доход бюджета поселения составит: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2025 году – 8 141 710,14 руб. или 97,8% в общем объеме доходов;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2026 году – 6 676 256,81 руб. или 97,3%;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2027 году – 5 953 596,81 руб. или 96,9%.</w:t>
      </w:r>
    </w:p>
    <w:p>
      <w:pPr>
        <w:pStyle w:val="Normal"/>
        <w:ind w:left="0" w:righ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Доля расходов бюджета на финансирование мероприятий 8 муниципальных программ бюджета поселения в 2025 составляет 92,9%, в  2026 году – 96,6%, в 2027 году – 95,9%.  от общего объема расходов бюджета, что подтверждает программно- целевой принцип формирования бюджета.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Calibri"/>
          <w:color w:val="000000"/>
          <w:sz w:val="28"/>
          <w:szCs w:val="28"/>
          <w:lang w:eastAsia="en-US"/>
        </w:rPr>
        <w:t>Проведенный анализ проекта решения о бюджете и документов, составляющих основу формирования бюджета, дает основание сделать вывод о возможности принятия проекта бюджета к рассмотрению Советом Рябовского сельского поселения.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</w:p>
    <w:p>
      <w:pPr>
        <w:pStyle w:val="Normal"/>
        <w:ind w:left="0" w:right="0" w:firstLine="567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>Председатель Контрольно - счетного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 Лухского муниципального района:                                 О.П.Смирнова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701" w:right="850" w:gutter="0" w:header="0" w:top="737" w:footer="518" w:bottom="12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FontStyle1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Без интервала Знак"/>
    <w:link w:val="NoSpacing"/>
    <w:qFormat/>
    <w:rPr>
      <w:rFonts w:ascii="Calibri" w:hAnsi="Calibri" w:eastAsia="Calibri" w:cs="Calibri"/>
    </w:rPr>
  </w:style>
  <w:style w:type="character" w:styleId="Style17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>
    <w:name w:val="Основной текст с отступом 3 Знак"/>
    <w:basedOn w:val="DefaultParagraphFont"/>
    <w:link w:val="BodyTextIndent3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9">
    <w:name w:val="Интернет-ссылка"/>
    <w:basedOn w:val="DefaultParagraphFont"/>
    <w:rPr>
      <w:color w:val="0000FF"/>
      <w:u w:val="single"/>
    </w:rPr>
  </w:style>
  <w:style w:type="character" w:styleId="Style20">
    <w:name w:val="Посещённая гиперссылка"/>
    <w:rPr>
      <w:color w:val="80000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7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Footer"/>
    <w:basedOn w:val="Normal"/>
    <w:link w:val="Style1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link w:val="Style1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Western">
    <w:name w:val="western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9">
    <w:name w:val="Body Text Indent"/>
    <w:basedOn w:val="Normal"/>
    <w:link w:val="Style18"/>
    <w:pPr>
      <w:spacing w:before="0" w:after="120"/>
      <w:ind w:left="283" w:right="0" w:hanging="0"/>
    </w:pPr>
    <w:rPr/>
  </w:style>
  <w:style w:type="paragraph" w:styleId="BodyTextIndent3">
    <w:name w:val="Body Text Indent 3"/>
    <w:basedOn w:val="Normal"/>
    <w:link w:val="3"/>
    <w:qFormat/>
    <w:pPr>
      <w:spacing w:before="0" w:after="120"/>
      <w:ind w:left="283" w:right="0" w:hanging="0"/>
    </w:pPr>
    <w:rPr>
      <w:sz w:val="16"/>
      <w:szCs w:val="16"/>
    </w:rPr>
  </w:style>
  <w:style w:type="paragraph" w:styleId="2">
    <w:name w:val="Стиль2"/>
    <w:basedOn w:val="Normal"/>
    <w:qFormat/>
    <w:pPr>
      <w:ind w:left="0" w:right="0" w:firstLine="709"/>
      <w:jc w:val="both"/>
    </w:pPr>
    <w:rPr>
      <w:sz w:val="28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c0c0c0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c0c0c0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125"/>
          <c:y val="0.0633333333333333"/>
          <c:w val="0.52525"/>
          <c:h val="0.723777777777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289.7</c:v>
                </c:pt>
                <c:pt idx="1">
                  <c:v>3277</c:v>
                </c:pt>
                <c:pt idx="2">
                  <c:v>2896.9</c:v>
                </c:pt>
                <c:pt idx="3">
                  <c:v>2896.9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2887</c:v>
                </c:pt>
                <c:pt idx="1">
                  <c:v>661</c:v>
                </c:pt>
                <c:pt idx="2">
                  <c:v>661</c:v>
                </c:pt>
                <c:pt idx="3">
                  <c:v>661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жилищно-коммун. Хозяйство</c:v>
                </c:pt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932.9</c:v>
                </c:pt>
                <c:pt idx="1">
                  <c:v>643.6</c:v>
                </c:pt>
                <c:pt idx="2">
                  <c:v>340.8</c:v>
                </c:pt>
                <c:pt idx="3">
                  <c:v>479.6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3618.5</c:v>
                </c:pt>
                <c:pt idx="1">
                  <c:v>3400</c:v>
                </c:pt>
                <c:pt idx="2">
                  <c:v>2455.2</c:v>
                </c:pt>
                <c:pt idx="3">
                  <c:v>1301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  национальная безопасность</c:v>
                </c:pt>
              </c:strCache>
            </c:strRef>
          </c:tx>
          <c:spPr>
            <a:solidFill>
              <a:srgbClr val="660066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215.1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 социальная политика</c:v>
                </c:pt>
              </c:strCache>
            </c:strRef>
          </c:tx>
          <c:spPr>
            <a:solidFill>
              <a:srgbClr val="ff8080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4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 национальная оборона</c:v>
                </c:pt>
              </c:strCache>
            </c:strRef>
          </c:tx>
          <c:spPr>
            <a:solidFill>
              <a:srgbClr val="0066cc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4"/>
                <c:pt idx="0">
                  <c:v>138.5</c:v>
                </c:pt>
                <c:pt idx="1">
                  <c:v>158.1</c:v>
                </c:pt>
                <c:pt idx="2">
                  <c:v>173.2</c:v>
                </c:pt>
                <c:pt idx="3">
                  <c:v>179.5</c:v>
                </c:pt>
              </c:numCache>
            </c:numRef>
          </c:val>
        </c:ser>
        <c:ser>
          <c:idx val="7"/>
          <c:order val="7"/>
          <c:tx>
            <c:strRef>
              <c:f>label 7</c:f>
              <c:strCache>
                <c:ptCount val="1"/>
                <c:pt idx="0">
                  <c:v>физ.культура и спорт</c:v>
                </c:pt>
              </c:strCache>
            </c:strRef>
          </c:tx>
          <c:spPr>
            <a:solidFill>
              <a:srgbClr val="cccc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прог. 2024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7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  <c:gapWidth val="150"/>
        <c:shape val="box"/>
        <c:axId val="50064059"/>
        <c:axId val="32922561"/>
        <c:axId val="0"/>
      </c:bar3DChart>
      <c:catAx>
        <c:axId val="5006405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lang="en-US" sz="1200" spc="-1" strike="noStrike">
                <a:solidFill>
                  <a:srgbClr val="000000"/>
                </a:solidFill>
                <a:latin typeface="Arial Cyr"/>
                <a:ea typeface="Arial Cyr"/>
              </a:defRPr>
            </a:pPr>
          </a:p>
        </c:txPr>
        <c:crossAx val="32922561"/>
        <c:crosses val="autoZero"/>
        <c:auto val="1"/>
        <c:lblAlgn val="ctr"/>
        <c:lblOffset val="100"/>
        <c:noMultiLvlLbl val="0"/>
      </c:catAx>
      <c:valAx>
        <c:axId val="32922561"/>
        <c:scaling>
          <c:orientation val="minMax"/>
        </c:scaling>
        <c:delete val="0"/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lang="en-US" sz="1200" spc="-1" strike="noStrike">
                <a:solidFill>
                  <a:srgbClr val="000000"/>
                </a:solidFill>
                <a:latin typeface="Arial Cyr"/>
                <a:ea typeface="Arial Cyr"/>
              </a:defRPr>
            </a:pPr>
          </a:p>
        </c:txPr>
        <c:crossAx val="50064059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651875"/>
          <c:y val="0.00188888888888889"/>
          <c:w val="0.321832614538409"/>
          <c:h val="0.941882431381265"/>
        </c:manualLayout>
      </c:layout>
      <c:overlay val="0"/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b="1" lang="en-US" sz="1100" spc="-1" strike="noStrike">
              <a:solidFill>
                <a:srgbClr val="000000"/>
              </a:solidFill>
              <a:latin typeface="Arial Cyr"/>
              <a:ea typeface="Arial Cyr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Application>LibreOffice/7.3.4.2$Windows_X86_64 LibreOffice_project/728fec16bd5f605073805c3c9e7c4212a0120dc5</Application>
  <AppVersion>15.0000</AppVersion>
  <Pages>14</Pages>
  <Words>4000</Words>
  <Characters>27067</Characters>
  <CharactersWithSpaces>31854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2023-11-27T19:26:00Z</dcterms:created>
  <dc:creator>Inna</dc:creator>
  <dc:description/>
  <dc:language>ru-RU</dc:language>
  <cp:lastModifiedBy/>
  <cp:lastPrinted>2025-01-28T10:22:31Z</cp:lastPrinted>
  <dcterms:modified xsi:type="dcterms:W3CDTF">2025-02-06T12:54:59Z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