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581025" cy="733425"/>
            <wp:effectExtent l="0" t="0" r="0" b="0"/>
            <wp:docPr id="1" name="Рисунок 1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ab/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КОНТРОЛЬНО-СЧЕТНЫЙ ОРГАН 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ЛУХСКОГО МУНИЦИПАЛЬНОГО РАЙОНА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ИВАНОВСКОЙ ОБЛАСТИ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155270, Ивановская область, п.Лух, ул.Октябрьская,д.4., тел. 8(49344) 2-12-61   </w:t>
      </w:r>
    </w:p>
    <w:p>
      <w:pPr>
        <w:pStyle w:val="Normal"/>
        <w:spacing w:before="0" w:after="200"/>
        <w:contextualSpacing/>
        <w:jc w:val="center"/>
        <w:rPr/>
      </w:pPr>
      <w:r>
        <w:rPr>
          <w:rFonts w:cs="Times New Roman" w:ascii="Times New Roman" w:hAnsi="Times New Roman"/>
          <w:sz w:val="24"/>
          <w:szCs w:val="24"/>
        </w:rPr>
        <w:t xml:space="preserve">E-mail:  luhkso@yandex.ru            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п.Лух                                                                               от «25»ноября 2024 года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ЗАКЛЮЧЕНИЕ №69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по результатам проведения экспертно-аналитического мероприятия «Экспертиза проекта решения Совета Лухского городского поселения «О внесении изменений в решение Совета Лухского городского поселения от 26.12.2023г. № 22«О бюджете Лухского городского поселения на 2024 год и плановый период 2025 и 2026 годов»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Настоящее заключение на проект решения Совета Лухского городского поселения «О внесении изменений и дополнений в решение Совета Лухского городского поселения от 26.12.2023г. № 22 «О бюджете Лухского городского поселения на 2024 год и плановый период 2025 и 2026 годов» (далее по тексту – экспертиза или экспертно-аналитическое мероприятие) проведено Контрольно-счетным органом Лухского муниципального района (далее – КСО) в соответствии с Бюджетным кодексом Российской Федерации, Положением о Контрольно-счетном органе Лухского муниципального района, утвержденным решением Совета Лухского муниципального района от 20.12.2021г. № 60, на основании плана деятельности Контрольно-счетного органа Лухского муниципального района на 2024 год, утвержденного председателем Контрольно-счетного органа Лухского муниципального района 25.12.2023г. и распоряжения председателя  от 20.11.2024 г. № 67.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Предмет экспертизы:</w:t>
      </w:r>
      <w:r>
        <w:rPr>
          <w:rFonts w:cs="Times New Roman" w:ascii="Times New Roman" w:hAnsi="Times New Roman"/>
          <w:sz w:val="28"/>
          <w:szCs w:val="28"/>
        </w:rPr>
        <w:t xml:space="preserve"> проект решения Совета Лухского городского поселения «О внесении изменений в решение Совета Лухского городского поселения от 26.12.2023г. №22 «О бюджете Лухского городского поселения на 2024 год и плановый период 2025 и 2026 годов» (далее – проект решения).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Цель экспертизы: </w:t>
      </w:r>
      <w:r>
        <w:rPr>
          <w:rFonts w:cs="Times New Roman" w:ascii="Times New Roman" w:hAnsi="Times New Roman"/>
          <w:sz w:val="28"/>
          <w:szCs w:val="28"/>
        </w:rPr>
        <w:t>оценка соответствия вносимых изменений и дополнений действующему законодательству Российской Федерации, оценка реалистичности вносимых изменений и дополнений, оценка целесообразности внесения изменений и дополнений.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Объекты экспертизы: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Финансовый отдел администрации Лухского муниципального района, как орган, уполномоченный на составление проекта решения;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Администрация Лухского муниципального района, как орган, уполномоченный навнесение проекта решения для утверждения в Совет Лухского городского поселения;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- Совет Лухского городского поселения, как орган, уполномоченный на утверждение проекта решения.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 xml:space="preserve">Срок проведения экспертизы: </w:t>
      </w:r>
      <w:r>
        <w:rPr>
          <w:rFonts w:cs="Times New Roman" w:ascii="Times New Roman" w:hAnsi="Times New Roman"/>
          <w:sz w:val="28"/>
          <w:szCs w:val="28"/>
        </w:rPr>
        <w:t>с 21.11.2024г. по 25.11.2024г.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  <w:r>
        <w:rPr>
          <w:rFonts w:cs="Times New Roman" w:ascii="Times New Roman" w:hAnsi="Times New Roman"/>
          <w:b/>
          <w:sz w:val="28"/>
          <w:szCs w:val="28"/>
        </w:rPr>
        <w:t>Исполнитель экспертно-аналитического мероприятия:</w:t>
      </w:r>
      <w:r>
        <w:rPr>
          <w:rFonts w:cs="Times New Roman" w:ascii="Times New Roman" w:hAnsi="Times New Roman"/>
          <w:sz w:val="28"/>
          <w:szCs w:val="28"/>
        </w:rPr>
        <w:t xml:space="preserve"> Председатель Контрольно-счетного органа Лухского муниципального района  Смирнова О.П.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ходе проведения экспертно-аналитического мероприятия Контрольно-счетным органом Лухского муниципального района установлено следующее: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1. Проектом решения предлагается внести изменения в показатели основных характеристик бюджета Лухского городского поселения (далее по тексту – бюджет), утвержденные статьей 1 решения Совета Лухского городского поселения от 26.12.2023г. №22 «О бюджете Лухского городского поселения на 2024 год и плановый период 2025 и 2026 годов» (далее – решение Совета Лухского муниципального района от 26.12.2023г. №22):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</w:t>
      </w:r>
      <w:r>
        <w:rPr>
          <w:rFonts w:cs="Times New Roman" w:ascii="Times New Roman" w:hAnsi="Times New Roman"/>
          <w:bCs/>
          <w:sz w:val="28"/>
          <w:szCs w:val="28"/>
        </w:rPr>
        <w:t xml:space="preserve">на 2024 год: 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 общий объем доходов бюджета увеличится на 783 918,00 руб. и составит 44 421 176,67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расходов бюджета увеличится на 783 918,00 руб. и составит 47 798 047,71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дефицита  бюджета не изменится и составит 3 376 871,04 руб.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bCs/>
          <w:sz w:val="28"/>
          <w:szCs w:val="28"/>
        </w:rPr>
      </w:pPr>
      <w:r>
        <w:rPr>
          <w:rFonts w:eastAsia="Times New Roman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bCs/>
          <w:kern w:val="2"/>
          <w:sz w:val="28"/>
          <w:szCs w:val="28"/>
        </w:rPr>
        <w:t>Утверждаемый дефицит бюджета составляет 22,975</w:t>
      </w:r>
      <w:bookmarkStart w:id="0" w:name="_GoBack"/>
      <w:bookmarkEnd w:id="0"/>
      <w:r>
        <w:rPr>
          <w:rFonts w:eastAsia="Times New Roman" w:ascii="Times New Roman" w:hAnsi="Times New Roman"/>
          <w:bCs/>
          <w:kern w:val="2"/>
          <w:sz w:val="28"/>
          <w:szCs w:val="28"/>
        </w:rPr>
        <w:t xml:space="preserve">% от утвержденного общего годового объема доходов бюджета без учета утвержденного объема безвозмездных поступлений и (или) поступлений налоговых доходов по дополнительным нормативам отчислений и </w:t>
      </w:r>
      <w:r>
        <w:rPr>
          <w:rFonts w:eastAsia="Times New Roman" w:ascii="Times New Roman" w:hAnsi="Times New Roman"/>
          <w:bCs/>
          <w:sz w:val="28"/>
          <w:szCs w:val="28"/>
        </w:rPr>
        <w:t>превышает ограничения, установленные в отношении предельного уровня дефицита  местного бюджета пунктом 3 статьи 92.1. БК РФ (за счет снижения остатков на счетах).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Times New Roman" w:ascii="Times New Roman" w:hAnsi="Times New Roman"/>
          <w:bCs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bCs/>
          <w:sz w:val="28"/>
          <w:szCs w:val="28"/>
        </w:rPr>
        <w:t>Изменение основных характеристик бюджета Лухского городского поселения внесены с соблюдением принципа сбалансированности бюджета, установленные статьей 33 БК РФ.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cs="Times New Roman" w:ascii="Times New Roman" w:hAnsi="Times New Roman"/>
          <w:sz w:val="28"/>
          <w:szCs w:val="28"/>
        </w:rPr>
        <w:t>2. Проектом решения предусмотрено приложение №2 «Доходы бюджета Лухского городского поселения по кодам классификации доходов бюджетов на 2024 год и плановый период 2025 и 2026 годов»</w:t>
      </w:r>
      <w:r>
        <w:rPr>
          <w:rFonts w:cs="Times New Roman" w:ascii="Times New Roman" w:hAnsi="Times New Roman"/>
          <w:sz w:val="28"/>
          <w:szCs w:val="28"/>
        </w:rPr>
        <w:t xml:space="preserve"> к решению </w:t>
      </w:r>
      <w:r>
        <w:rPr>
          <w:rFonts w:eastAsia="Times New Roman" w:ascii="Times New Roman" w:hAnsi="Times New Roman"/>
          <w:sz w:val="28"/>
          <w:szCs w:val="28"/>
        </w:rPr>
        <w:t>Совета Лухского городского поселения от 26.12.2023г. №22 изложить в новой редакции, согласно которому общий объем доходов бюджета на 2024 год увеличится на 783 918,00 руб. Анализ предлагаемых изменений приведен в Приложении №1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3.</w:t>
      </w:r>
      <w:r>
        <w:rPr>
          <w:rFonts w:eastAsia="Times New Roman" w:ascii="Times New Roman" w:hAnsi="Times New Roman"/>
          <w:sz w:val="28"/>
          <w:szCs w:val="28"/>
        </w:rPr>
        <w:t>Проектом решения предлагается приложение №3 «Источники внутреннего финансирования дефицита бюджета Лухского городского поселения на 2024 год и плановый период 2025 и 2026 годов» изложить в новой редакции, согласно которому вносятся следующие изменения:</w:t>
      </w:r>
    </w:p>
    <w:tbl>
      <w:tblPr>
        <w:tblStyle w:val="af1"/>
        <w:tblW w:w="9870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411"/>
        <w:gridCol w:w="1416"/>
        <w:gridCol w:w="1418"/>
        <w:gridCol w:w="1418"/>
        <w:gridCol w:w="1276"/>
        <w:gridCol w:w="851"/>
        <w:gridCol w:w="1079"/>
      </w:tblGrid>
      <w:tr>
        <w:trPr>
          <w:trHeight w:val="255" w:hRule="atLeast"/>
        </w:trPr>
        <w:tc>
          <w:tcPr>
            <w:tcW w:w="2411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Наименование кода классификации источников финансирования дефицита бюджета</w:t>
            </w:r>
          </w:p>
        </w:tc>
        <w:tc>
          <w:tcPr>
            <w:tcW w:w="425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Изменения, предлагаемые проектом решения, руб.</w:t>
            </w:r>
          </w:p>
        </w:tc>
        <w:tc>
          <w:tcPr>
            <w:tcW w:w="3206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Сумма изменений, руб.</w:t>
            </w:r>
          </w:p>
        </w:tc>
      </w:tr>
      <w:tr>
        <w:trPr>
          <w:trHeight w:val="390" w:hRule="atLeast"/>
        </w:trPr>
        <w:tc>
          <w:tcPr>
            <w:tcW w:w="2411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4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5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202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en-US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 xml:space="preserve"> год</w:t>
            </w:r>
          </w:p>
        </w:tc>
      </w:tr>
      <w:tr>
        <w:trPr>
          <w:trHeight w:val="390" w:hRule="atLeast"/>
        </w:trPr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ИСТОЧНИКИ ВНУТРЕННЕГО ФИНАНСИРОВАНИЯ ДЕФИЦИТА РАЙОННОГО БЮДЖЕТА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3 376 871,04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3 376 871,04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390" w:hRule="atLeast"/>
        </w:trPr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41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-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44 421 176,67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- 21 204 478,28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- 31 171 250,42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-783 918,00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  <w:tr>
        <w:trPr>
          <w:trHeight w:val="132" w:hRule="atLeast"/>
        </w:trPr>
        <w:tc>
          <w:tcPr>
            <w:tcW w:w="24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41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20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Cs/>
                <w:kern w:val="0"/>
                <w:sz w:val="18"/>
                <w:szCs w:val="18"/>
                <w:lang w:val="ru-RU" w:eastAsia="en-US" w:bidi="ar-SA"/>
              </w:rPr>
              <w:t>47 798 047,71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21 204 478,28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18"/>
                <w:szCs w:val="18"/>
                <w:lang w:val="ru-RU" w:eastAsia="en-US" w:bidi="ar-SA"/>
              </w:rPr>
              <w:t>31 171 250,42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val="ru-RU" w:eastAsia="en-US" w:bidi="ar-SA"/>
              </w:rPr>
              <w:t>+783 918,00</w:t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  <w:tc>
          <w:tcPr>
            <w:tcW w:w="107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eastAsia="Calibri" w:cs="Times New Roman" w:ascii="Times New Roman" w:hAnsi="Times New Roman"/>
                <w:kern w:val="0"/>
                <w:sz w:val="18"/>
                <w:szCs w:val="18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Указанные изменения соответствуют предлагаемым показателям основных характеристик, отражаемых в пункте 1 проекта решения.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 xml:space="preserve">4.Проектом решения предусмотрено приложение №4 «Распределение бюджетных ассигнований по целевым статьям (муниципальным программам Лухского городского поселения и не включенным в муниципальные программы Лухского городского поселения направлениям деятельности органов местного самоуправления Лухского городского поселения), группам видов расходов классификации расходов районного бюджета на 2024 год» к решению </w:t>
      </w:r>
      <w:r>
        <w:rPr>
          <w:rFonts w:eastAsia="Times New Roman" w:ascii="Times New Roman" w:hAnsi="Times New Roman"/>
          <w:sz w:val="28"/>
          <w:szCs w:val="28"/>
        </w:rPr>
        <w:t>Совета Лухского городского поселения от 26.12.2023г. №22 изложить в новой редакции, согласно которому расходы бюджета на 2024 год увеличатся на 783 918,00 руб.  Анализ предлагаемых изменений приведен в Приложении №2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5.</w:t>
      </w:r>
      <w:r>
        <w:rPr>
          <w:rFonts w:eastAsia="Times New Roman" w:ascii="Times New Roman" w:hAnsi="Times New Roman"/>
          <w:sz w:val="28"/>
          <w:szCs w:val="28"/>
        </w:rPr>
        <w:t xml:space="preserve">Проектом решения предусмотрено приложение №6 «Ведомственная структура расходов бюджета Лухского городского поселения на 2024 год» </w:t>
      </w:r>
      <w:r>
        <w:rPr>
          <w:rFonts w:cs="Times New Roman" w:ascii="Times New Roman" w:hAnsi="Times New Roman"/>
          <w:sz w:val="28"/>
          <w:szCs w:val="28"/>
        </w:rPr>
        <w:t xml:space="preserve">к решению </w:t>
      </w:r>
      <w:r>
        <w:rPr>
          <w:rFonts w:eastAsia="Times New Roman" w:ascii="Times New Roman" w:hAnsi="Times New Roman"/>
          <w:sz w:val="28"/>
          <w:szCs w:val="28"/>
        </w:rPr>
        <w:t>Совета Лухского городского поселения от 26.12.2023г. №22 изложить в новой редакции, согласно которому предлагается расходы бюджета на 2024 год увеличить на 783 918,00 руб. Анализ предлагаемых изменений приведен в Приложении № 3 к настоящему заключению.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 xml:space="preserve">     </w:t>
      </w:r>
      <w:r>
        <w:rPr>
          <w:rFonts w:eastAsia="Times New Roman" w:ascii="Times New Roman" w:hAnsi="Times New Roman"/>
          <w:sz w:val="28"/>
          <w:szCs w:val="28"/>
        </w:rPr>
        <w:t>6.Проектом решения предусмотрено под.1 пункта 5 статьи 5 изложить в новой редакции: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«3) на 2024 год в сумме 21 350 117,81 руб.».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bCs/>
          <w:kern w:val="2"/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Расчеты, документы, иная информация, позволяющая оценить обоснованность изменений объемов бюджетных назначений расходов бюджета в Контрольно-счетный орган Лухского муниципального района не представлялись.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bCs/>
          <w:kern w:val="2"/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По результатам поведенного экспертно-аналитического мероприятия КСО сделаны следующие</w:t>
      </w:r>
      <w:r>
        <w:rPr>
          <w:rFonts w:eastAsia="Arial Unicode MS" w:ascii="Times New Roman" w:hAnsi="Times New Roman"/>
          <w:b/>
          <w:bCs/>
          <w:kern w:val="2"/>
          <w:sz w:val="28"/>
          <w:szCs w:val="28"/>
        </w:rPr>
        <w:t xml:space="preserve"> выводы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:</w:t>
      </w:r>
    </w:p>
    <w:p>
      <w:pPr>
        <w:pStyle w:val="Normal"/>
        <w:spacing w:lineRule="auto" w:line="240" w:before="0" w:after="200"/>
        <w:contextualSpacing/>
        <w:jc w:val="both"/>
        <w:rPr/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1. Изменения в параметры основных характеристик бюджета Лухского городского поселения внесены с соблюдением принципа сбалансированности бюджета, установленные статьей 33 БК РФ.</w:t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 w:eastAsia="Arial Unicode MS"/>
          <w:bCs/>
          <w:kern w:val="2"/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2. Проектом решения предлагается утвердить изменения показателей основных характеристик бюджета на 2024 год, а именно:</w:t>
      </w:r>
    </w:p>
    <w:p>
      <w:pPr>
        <w:pStyle w:val="Normal"/>
        <w:spacing w:lineRule="auto" w:line="240" w:before="0" w:after="0"/>
        <w:contextualSpacing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- общий объем доходов бюджета увеличится на 783 918,00 руб. и составит 44 421 176,67 руб.;</w:t>
      </w:r>
    </w:p>
    <w:p>
      <w:pPr>
        <w:pStyle w:val="NoSpacing"/>
        <w:jc w:val="both"/>
        <w:rPr/>
      </w:pPr>
      <w:r>
        <w:rPr>
          <w:bCs/>
          <w:sz w:val="28"/>
          <w:szCs w:val="28"/>
        </w:rPr>
        <w:t>- общий объем расходов бюджета увеличится на 783 918,00 руб. и составит 47 798 047,71 руб.;</w:t>
      </w:r>
    </w:p>
    <w:p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объем дефицита  бюджета не изменится и составит 3 376 871,04 руб.</w:t>
      </w:r>
    </w:p>
    <w:p>
      <w:pPr>
        <w:pStyle w:val="Normal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3. Проект решения  затрагивает бюджетные ассигнования по муниципальным программам Лухского городского поселения: </w:t>
      </w:r>
      <w:r>
        <w:rPr>
          <w:rFonts w:eastAsia="Arial Unicode MS" w:ascii="Times New Roman" w:hAnsi="Times New Roman"/>
          <w:kern w:val="2"/>
          <w:sz w:val="28"/>
          <w:szCs w:val="28"/>
        </w:rPr>
        <w:t>«Обеспечение безопасности граждан в Лухском городском поселении», «Содержание и ремонт  автомобильных дорог,  инженерных сооружений на них, в границах Лухского городского поселения», «Развитие жилищно-коммунального хозяйства Лухского городского поселения».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bCs/>
          <w:kern w:val="2"/>
          <w:sz w:val="28"/>
          <w:szCs w:val="28"/>
        </w:rPr>
        <w:t xml:space="preserve">       </w:t>
      </w:r>
      <w:r>
        <w:rPr>
          <w:rFonts w:eastAsia="Arial Unicode MS" w:ascii="Times New Roman" w:hAnsi="Times New Roman"/>
          <w:bCs/>
          <w:kern w:val="2"/>
          <w:sz w:val="28"/>
          <w:szCs w:val="28"/>
        </w:rPr>
        <w:t>4. Представленные изменения направлены на решение вопросов местного значения.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kern w:val="2"/>
          <w:sz w:val="28"/>
          <w:szCs w:val="28"/>
        </w:rPr>
      </w:pPr>
      <w:r>
        <w:rPr>
          <w:rFonts w:eastAsia="Arial Unicode MS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rial Unicode MS"/>
          <w:kern w:val="2"/>
          <w:sz w:val="28"/>
          <w:szCs w:val="28"/>
        </w:rPr>
      </w:pPr>
      <w:r>
        <w:rPr>
          <w:rFonts w:eastAsia="Arial Unicode MS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kern w:val="2"/>
          <w:sz w:val="28"/>
          <w:szCs w:val="28"/>
        </w:rPr>
        <w:t>Председатель Контрольно-счетного органа</w:t>
      </w:r>
    </w:p>
    <w:p>
      <w:pPr>
        <w:sectPr>
          <w:footerReference w:type="default" r:id="rId3"/>
          <w:type w:val="nextPage"/>
          <w:pgSz w:w="11906" w:h="16838"/>
          <w:pgMar w:left="1417" w:right="850" w:gutter="0" w:header="0" w:top="850" w:footer="0" w:bottom="624"/>
          <w:pgNumType w:fmt="decimal"/>
          <w:formProt w:val="false"/>
          <w:textDirection w:val="lrTb"/>
          <w:docGrid w:type="default" w:linePitch="360" w:charSpace="16384"/>
        </w:sectPr>
        <w:pStyle w:val="Normal"/>
        <w:widowControl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kern w:val="2"/>
          <w:sz w:val="28"/>
          <w:szCs w:val="28"/>
        </w:rPr>
        <w:t>Лухского муниципального района:                                                 О.П.Смирнова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№1</w:t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к заключению от 15.11.2024г. №63</w:t>
      </w:r>
    </w:p>
    <w:tbl>
      <w:tblPr>
        <w:tblStyle w:val="af1"/>
        <w:tblW w:w="15075" w:type="dxa"/>
        <w:jc w:val="left"/>
        <w:tblInd w:w="-6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4"/>
        <w:gridCol w:w="2810"/>
        <w:gridCol w:w="1277"/>
        <w:gridCol w:w="1417"/>
        <w:gridCol w:w="993"/>
        <w:gridCol w:w="1274"/>
        <w:gridCol w:w="1277"/>
        <w:gridCol w:w="1275"/>
        <w:gridCol w:w="1277"/>
        <w:gridCol w:w="1274"/>
        <w:gridCol w:w="725"/>
      </w:tblGrid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Код бюджетной классификации доходов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Наименование доходов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2024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Откло-нение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2025 год (руб.)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2025 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Откло-нение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Предусмотрено проектом решения на 2026год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(руб.)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Отклоне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20"/>
                <w:szCs w:val="20"/>
                <w:lang w:val="ru-RU" w:eastAsia="en-US" w:bidi="ar-SA"/>
              </w:rPr>
              <w:t>ние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000 1 00 00000 00 0000 000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НАЛОГОВЫЕ И НЕНАЛОГОВЫЕ ДОХОДЫ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14 697 848,00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14 697 848,00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13 897 848,00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182 1 01 00000 00 0000 000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прибыль, доходы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13 387 200,00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13 387 200,00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12 637 200,00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08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182 1 03 00000 00 0000 000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товары (работы, услуги), реализуемые на территории РФ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502 663,00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182  1 05 00000 00 0000 000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22 000,00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67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182 1 06 00000 00 0000 000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Налоги на имущество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554 985,00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000  1 11 00000 00 0000 000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Доходы от использования имущества, находящегося в государственной и муни-ципальной собственности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95 000,00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000 1 13 00000 00 0000 000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Прочие доходы от оказания платных услуг (работ)и компенсация затрат государства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101 000,00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101 000,00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51 000,00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000 1 14 00000 00 0000 000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35 000,00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000 1 17 00000 00 0000 000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2 00 00000 00 0000 000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28 938 410,67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29 722 328,67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2 02 00000 00 0000 000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28 938 410,67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29 722 328,67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7 305 630,28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17 272 402,42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74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28520215001130000150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4 328 700,00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4 328 700,00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3 638 400,00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3 638 400,00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4 343 000,00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4 343 000,00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285 2 02 15002 13 0000150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1 327 345,68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2 111 263,68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91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285 2 02 20216 1 30000150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убсидии бюджетам городских поселений на осуществление дорожной деятельности в отноше-нии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8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285 2 02 20041 13 0000 150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убсидии бюджетам городских поселений на строительство, модернизацию, ремонт и содержание автомо-бильных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3 286 950,28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3 371 312,42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3 371 312,42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01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285 2 02 35120 13 0000 150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Субвенции бюджетам городских поселений на осуществление полномо-чий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3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285 2 02 29999 13 0000 150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субсидии бюджетам городских поселений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5 880 000,02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5 880 000,02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285 2 02 40014 13 0000 150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6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285 2 02 25555 13 0000 150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2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14"/>
                <w:szCs w:val="14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285 2 02 49999 13 0000 150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Calibri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285 2 02 25467 13 0000 150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Субсидии бюджетам муниципальных образований Ивановской области на обеспечение развития 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700 000,00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700 000,00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5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 xml:space="preserve">285 2 02 </w:t>
            </w: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en-US" w:eastAsia="en-US" w:bidi="ar-SA"/>
              </w:rPr>
              <w:t>45784</w:t>
            </w: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 xml:space="preserve"> 13 0000150</w:t>
            </w:r>
          </w:p>
        </w:tc>
        <w:tc>
          <w:tcPr>
            <w:tcW w:w="2810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Межбюджетные трансферты, передаваемые бюджетам городских поселений на финансирование дорожной деятельности в отношении автомобильных дорог общего пользования регионального или межмуниципального местного значения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en-US" w:eastAsia="en-US" w:bidi="ar-SA"/>
              </w:rPr>
              <w:t>13 069 204,69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en-US" w:eastAsia="en-US" w:bidi="ar-SA"/>
              </w:rPr>
              <w:t>13 069 204,69</w:t>
            </w:r>
          </w:p>
        </w:tc>
        <w:tc>
          <w:tcPr>
            <w:tcW w:w="99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4"/>
                <w:szCs w:val="14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25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125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285 2 02 35118 13 0000150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городских округов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460,00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70" w:hRule="atLeast"/>
        </w:trPr>
        <w:tc>
          <w:tcPr>
            <w:tcW w:w="14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4"/>
                <w:szCs w:val="14"/>
                <w:lang w:val="ru-RU" w:eastAsia="en-US" w:bidi="ar-SA"/>
              </w:rPr>
              <w:t>000 2 07 00000 00 0000 000</w:t>
            </w:r>
          </w:p>
        </w:tc>
        <w:tc>
          <w:tcPr>
            <w:tcW w:w="28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безвозмездные поступления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1 000,00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4284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Всего доходов: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43 637 258,67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44 421 176,67</w:t>
            </w:r>
          </w:p>
        </w:tc>
        <w:tc>
          <w:tcPr>
            <w:tcW w:w="9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783 918,00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21 204 478,28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21 204 478,28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31 171 250,42</w:t>
            </w:r>
          </w:p>
        </w:tc>
        <w:tc>
          <w:tcPr>
            <w:tcW w:w="12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31 171 250,42</w:t>
            </w:r>
          </w:p>
        </w:tc>
        <w:tc>
          <w:tcPr>
            <w:tcW w:w="72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№2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к заключению от 15.11.2024г. №63</w:t>
      </w:r>
    </w:p>
    <w:tbl>
      <w:tblPr>
        <w:tblStyle w:val="af1"/>
        <w:tblW w:w="15506" w:type="dxa"/>
        <w:jc w:val="left"/>
        <w:tblInd w:w="-4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9"/>
        <w:gridCol w:w="1133"/>
        <w:gridCol w:w="709"/>
        <w:gridCol w:w="1276"/>
        <w:gridCol w:w="1417"/>
        <w:gridCol w:w="993"/>
        <w:gridCol w:w="1276"/>
        <w:gridCol w:w="1276"/>
        <w:gridCol w:w="850"/>
        <w:gridCol w:w="1276"/>
        <w:gridCol w:w="1276"/>
        <w:gridCol w:w="654"/>
      </w:tblGrid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Наименование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Целевая статья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Вид расходов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2024 год (руб.)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2025год (руб.)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2025 год (руб.)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2026год (руб.)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 Лухского городского поселения «Обеспечение финансирования непредвиденных  расходов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 «Управление резервными средствами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«Управление резервным фондом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 «Обеспечение безопасности граждан в Лухском городском поселении»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-42 000,00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«Развитие гражданской обороны, защиты населения и территорий от чрезвычайных ситуаций, обеспечения пожарной безопасности  и безопасности людей на водных объектах»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-42 000,00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«Развитие Лухского городского поселения в системе гражданской обороны, защиты населения и территорий от чрезвычайных ситуаций, гражданская оборона и обеспечение пожарной безопасности и безопасности людей на водных объектах»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254 000,00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-42 000,00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0210100060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15 000,00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0210100070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243 090,38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201 090,38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-42 000,00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135 000,00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«Содержание и ремонт  автомобильных дорог,  инженерных сооружений на них, в границах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21 750 117,81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«Текущее содержание дорог, ремонт дорог, ремонт тротуаров, ремонт придомовых территорий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21 750 117,81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«Реализация мероприятий в области дорожного хозяйства дорог,  инженерных сооружений на них, в границах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21 750 117,81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22 140 760,37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5 801 296,54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5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4 464 670,96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4 855 313,52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2 341 348,88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2 341 348,88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2 998 336,26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2 998 336,26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6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8600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3 459 947,66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3 548 749,92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3 548 749,92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4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Устройство, замена и восстановление электроосвещения (за исключением светофорных объектов) элементов обустройства автомобильных дорог общего пользования местного значения в 2024-2026 годах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1060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0310186500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Строительство (реконструкция),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03101S9100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726 713,02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726 713,02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02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Основное мероприятие «Осуществление полномочий по решению вопросов 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местного значения в соответствии с заключенными соглашениями передаваемые бюджету Лухского городского поселения из районного бюджета»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7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Calibri"/>
                <w:sz w:val="16"/>
                <w:szCs w:val="16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Осуществление полномочий по решению вопросов местного значения на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0310200270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4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S0510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581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«Развитие жилищно-коммунального хозяйства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0400000000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5 608 927,16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6 044 202,60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435 275,44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4 513 468,7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4 513 468,7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4 132 980,00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4 132 980,00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«Содержание муниципального жилищного фонда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278 500,00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 «Содержание  жилищного хозяйства 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0410100090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278500,00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220 000,00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212 110,53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49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«Реализация мероприятий в области коммунального хозяйства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0420000000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57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«Модернизация объектов коммунальной инфраструктуры и обеспечение функционирования систем жизнеобеспечения»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 полномочия на реализацию мероприятий по модернизации объектов коммунальной инфраструктуры Лухского городского поселения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0420160110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«Благоустройство территории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5 257 269,27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5 472 544,71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215 275,44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«Благоустройство территории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5 257 269,27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5 472 544,71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215 275,44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2 100 000,00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2 142 000,00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42 000,00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1 700 000,00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1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7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0430100130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0430100140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2 857 269,27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3 030 544,71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173 275,44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2 263 468,70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2 263 468,70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1 882 980,00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1 882 980,00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«Проведение ремонта, содержания и учета имущества находящегося в собственности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73 157,89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0440100200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37 289,47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37 289,47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39 4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66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 , содержания и учета имущества находящегося в собственности Лухского городского поседения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0440100200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«Культура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0500000000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17 209 937,99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17 209 937,99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9 326 501,84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13 926 958,31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13 926 958,31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6 950 411,84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досуга и обеспечение жителей поселения услугами муниципального бюджетного учреждения культуры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12 916 289,30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12 916 289,30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«Обеспечение деятельности муниципального бюджетного учреждения «Культурно-досуговый комплекс Лухского 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0510100150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5 468 611,84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410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065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5582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08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0510181980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05101L4670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736 8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2,11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736 8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4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2,11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05101S1980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600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5 263 157,89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5 263 157,89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0510260200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1 481 800,00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05102R5191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500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2 376 090,00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1 686 090,00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1 273 509,50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1 273 509,50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690 0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0520100170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0520180340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05201S0340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Укрепление материально-технической базы муниципальных учреждений культуры Ивановской области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05201S1980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Лухского городского поселения «Социальная поддержка граждан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0600000000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1" w:name="_GoBack1"/>
            <w:bookmarkEnd w:id="1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2" w:name="_GoBack2"/>
            <w:bookmarkEnd w:id="2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3" w:name="_GoBack3"/>
            <w:bookmarkEnd w:id="3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000,</w:t>
            </w:r>
            <w:bookmarkStart w:id="4" w:name="_GoBack4"/>
            <w:bookmarkEnd w:id="4"/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«Выплаты ежемесячного пенсионного обеспечения, ежемесячной доплаты к трудовой пенсии по старости отдельным категориям граждан»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0610100180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36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Муниципальная программа  Лухского городского поселения «Формирование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0700000000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Подпрограмма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94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«Обеспечение мероприятий по формированию современной городской среды Лухского городского поселения»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0710100000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1 402 128,05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50 000,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988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мероприятий по формированию современной городской среды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07101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53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both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мероприятий по формированию современной городской среды Лухского городского поселения за счёт средств субсидии из областного бюджета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07101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R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5550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692" w:hRule="atLeast"/>
        </w:trPr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проектов развития территорий муниципальных образований Ивановской области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071F2S5101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425" w:hRule="atLeast"/>
        </w:trPr>
        <w:tc>
          <w:tcPr>
            <w:tcW w:w="336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2022 году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0710100280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25 000,00</w:t>
            </w:r>
          </w:p>
        </w:tc>
        <w:tc>
          <w:tcPr>
            <w:tcW w:w="141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25 000,00</w:t>
            </w:r>
          </w:p>
        </w:tc>
        <w:tc>
          <w:tcPr>
            <w:tcW w:w="993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50 000,00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50 000,00</w:t>
            </w:r>
          </w:p>
        </w:tc>
        <w:tc>
          <w:tcPr>
            <w:tcW w:w="850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Непрограммные направления деятельности органов  местного самоуправления Лухского городского поселения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fr-FR" w:eastAsia="en-US" w:bidi="ar-SA"/>
              </w:rPr>
              <w:t>4000000000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453 018,70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453 018,70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588 780,00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588 780,00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623 890,00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623 890,00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4090090120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200 000,00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4090090130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других обязательств. 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4090090140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800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8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8 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4090051200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200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4090051180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fr-FR" w:eastAsia="en-US" w:bidi="ar-SA"/>
              </w:rPr>
              <w:t>100</w:t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380 280,00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415 390,00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336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Всего расходов: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bCs/>
                <w:kern w:val="2"/>
                <w:szCs w:val="16"/>
                <w:lang w:val="fr-FR"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47 014 129,71</w:t>
            </w:r>
          </w:p>
        </w:tc>
        <w:tc>
          <w:tcPr>
            <w:tcW w:w="14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47 798 047,71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  <w:bCs/>
              </w:rPr>
            </w:pPr>
            <w:r>
              <w:rPr>
                <w:rFonts w:eastAsia="Arial Unicode MS" w:cs="" w:ascii="Times New Roman" w:hAnsi="Times New Roman"/>
                <w:b/>
                <w:bCs/>
                <w:kern w:val="2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20 766 047,08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20 766 047,08</w:t>
            </w:r>
          </w:p>
        </w:tc>
        <w:tc>
          <w:tcPr>
            <w:tcW w:w="850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30259158,02</w:t>
            </w:r>
          </w:p>
        </w:tc>
        <w:tc>
          <w:tcPr>
            <w:tcW w:w="1276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30259158,02</w:t>
            </w:r>
          </w:p>
        </w:tc>
        <w:tc>
          <w:tcPr>
            <w:tcW w:w="65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widowControl w:val="false"/>
        <w:spacing w:lineRule="auto" w:line="240" w:before="0" w:after="0"/>
        <w:ind w:firstLine="708"/>
        <w:jc w:val="right"/>
        <w:rPr>
          <w:rFonts w:ascii="Times New Roman" w:hAnsi="Times New Roman" w:eastAsia="Arial Unicode MS"/>
          <w:kern w:val="2"/>
          <w:sz w:val="20"/>
          <w:szCs w:val="20"/>
        </w:rPr>
      </w:pPr>
      <w:r>
        <w:rPr>
          <w:rFonts w:eastAsia="Arial Unicode MS" w:ascii="Times New Roman" w:hAnsi="Times New Roman"/>
          <w:kern w:val="2"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Приложение №3</w:t>
      </w:r>
    </w:p>
    <w:p>
      <w:pPr>
        <w:pStyle w:val="Normal"/>
        <w:widowControl w:val="false"/>
        <w:spacing w:lineRule="auto" w:line="240" w:before="0" w:after="0"/>
        <w:ind w:firstLine="708"/>
        <w:jc w:val="right"/>
        <w:rPr/>
      </w:pPr>
      <w:r>
        <w:rPr>
          <w:rFonts w:eastAsia="Arial Unicode MS" w:ascii="Times New Roman" w:hAnsi="Times New Roman"/>
          <w:kern w:val="2"/>
          <w:sz w:val="20"/>
          <w:szCs w:val="20"/>
        </w:rPr>
        <w:t>к заключению от 15.11.2024г. №63</w:t>
      </w:r>
    </w:p>
    <w:tbl>
      <w:tblPr>
        <w:tblStyle w:val="af1"/>
        <w:tblW w:w="15885" w:type="dxa"/>
        <w:jc w:val="left"/>
        <w:tblInd w:w="-3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706"/>
        <w:gridCol w:w="709"/>
        <w:gridCol w:w="567"/>
        <w:gridCol w:w="710"/>
        <w:gridCol w:w="1134"/>
        <w:gridCol w:w="850"/>
        <w:gridCol w:w="1134"/>
        <w:gridCol w:w="1133"/>
        <w:gridCol w:w="994"/>
        <w:gridCol w:w="1133"/>
        <w:gridCol w:w="993"/>
        <w:gridCol w:w="849"/>
        <w:gridCol w:w="1135"/>
        <w:gridCol w:w="1134"/>
        <w:gridCol w:w="704"/>
      </w:tblGrid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Наименование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Код ГРБС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Раздел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Подраздел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Целевая статья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Вид расходов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2024 год (руб.)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2024 год (руб.)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2025 год (руб.)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2025 год (руб.)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Утверждено решением о бюджете на 2026 год (руб.)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Предусмотрено проектом решения на 2026 год (руб.)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Отклонение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Финансовый отдел администрации Лухского муниципального района Ивановской области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285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1 280 669,01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1 280 669,01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 </w:t>
            </w: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781800,00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1 781800,00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1781800,00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1781800,00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270 000,00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270 000,00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00 000,00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0420100110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 полномочия на реализацию мероприятий по модернизации объектов коммунальной инфраструктуры Лухского городского поселения. в соответствии с законодательством РФ  в пределах преданных на исполнение полномочия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0420160110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«Создание условий для организации библиотечного обслуживания жителей  Лухского городского поселения»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0510200000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1481800,00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 на осуществление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Лухскогогорродского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0510260200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1 010 669,01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1481800,00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1 481 800,00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по 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05102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 по осуществлению части полномочий в области  организации библиотечного обслуживания населения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0510280340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Иные межбюджетные трансферты бюджету муниципального района из бюджета городского поселения на расходы по комплектованию книжных фондов  в соответствии с законодательством РФ  в пределах преданных на исполнение полномочий финансовых средств из бюджета Лухского  городского поселения (Межбюджетные трансферты)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05102R5191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500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Управление городского хозяйства,благоустройства и дорожной деятельности администрации Лухского муниципального района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287</w:t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45 733 460,7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46 517 378,70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eastAsia="Calibri" w:cs="Times New Roman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18 984 247,08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18 984 247,08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28477358,02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28477358,02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Общегосударственные вопросы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136 808,70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136 808,70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208 500,00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Составление (изменение) списков кандидатов в присяжные заседатели федеральных судов общей юрисдикции в Российской Федерации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4090051200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300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4090090120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98 308,70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200 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 xml:space="preserve">200 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kern w:val="0"/>
                <w:lang w:eastAsia="en-US" w:bidi="ar-SA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20</w:t>
            </w: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en-US" w:eastAsia="en-US" w:bidi="ar-SA"/>
              </w:rPr>
              <w:t>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других обязательств. Расходы на оплату членских взносов в Совет муниципальных образований Ивановской области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4090090140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8 500,00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8 500,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Подготовка проекта внесения изменений в документы территориального планирования, правила землепользования и застройки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04401S3020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оборона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первичного воинского учета на территориях, где отсутствуют военные комиссариаты, в рамках иных непрограммных направлений деятельности органов  местного самоуправления Лухского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4090051180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346 210,00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380 280,00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415 390,00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254 000,00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212 000,00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-42 000,00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Развитие Лухского городского поселения в системе гражданской обороны, защиты населения и территорий от чрезвычайных ситуаций, гражданская оборона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0210100060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10 909,62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15 000,00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2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пожарной безопасности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0210100070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243 090,38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201 090,38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-42 000,00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135 000,00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Национальная экономика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21750117,81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22140760,37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5 801 296,54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5 801 296,54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15689786,18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04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0310100080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4 464 670,96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4 855 313,52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390 642,56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2 341 348,88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2 341 348,88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2 998 336,26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2 998 336,26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в области дорожного хозяйства Лухского городского поселения (иные межбюджетные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0310100080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0310180510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16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строительство (реконструкцию), капитальный ремонт, ремонт и содержание автомобильных дорог общего пользования местного значения, в том числе формирование муниципальных дорожных фондов за счёт средств бюджета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3 558 733,83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3 459 947,66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3459947,66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3 548 749,92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3 548 749,92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17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Устройство,замена и восстановление элекроосвещения (за исключением светофорных объектов) элементов обустройства автомобильных дорог общего пользования местного значения в 2024-2026 годах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1060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9142700,00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3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0310186500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Финансовое обеспечение дорожной деятельности на автомобильных дорогах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8600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Строительство (реконструкцию), капитальный ремонт и ремонт автомобильных дорог общего пользования 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03101S9100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13726713,02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13726713,02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Осуществление полномочий по решению вопросов местного значения на  Развитие автомобильных дорог общего пользования местного значения Лухского муниципального района Ивановской области в соответствии с заключёнными соглашениями передаваемые бюджету Лухского городского поселения из районного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0310200270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84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03102S0510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8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проектирование, строительство, реконструкцию автомобильных дорог общего пользования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09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03102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Жилищно-коммунальное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7 011 055,21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7 446 330,65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435 275,44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4 563 468,70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4 563 468,70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4 132 980,00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4 132 980,00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58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Жилищное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351657,89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571657,89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220 000,00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b/>
                <w:b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250 000,00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9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Ремонт и содержание муниципального жилищного фонда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0410100090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278 50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498 50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220 000,00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212 110,53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2110,53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210 00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ремонта, содержания и учета имущества находящегося в собственности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0440100200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72 357,89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37 889,47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-2110,53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40 00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99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проведение ремонта, содержания и учета имущества находящегося в собственности Лухского городского поселения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0440100200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2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Коммунальное хозяйство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Возмещение недополученных доходов, возникающих из-за разницы между экономически обоснованным тарифом и размером платы населения за одну помывку при оказании услуг по помывке в поселковой бане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0420100100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121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модернизации объектов коммунальной инфраструктуры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0420100110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>
          <w:trHeight w:val="25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Проектирование поселкового газопровода п.Лух Ивановской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 xml:space="preserve">05 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02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0810100240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Благоустройство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6 659 397,32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6 874 672,76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215 275,44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4 313 468,70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4 313 468,70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3 882 980,00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3 882 980,00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Резервный фонд 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0110120010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0.00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содержанию сети уличного освещения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0430100120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2 100 000,00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2 142 000,00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42 000,00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1 700 000,00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700 000,00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1 700 000,00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1 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700 000,00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мероприятий по организации и содержанию мест захоронения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0430100130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 000.00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Прочие мероприятия по благоустройству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0430100140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2 857 269,27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3 030 544,71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173 275,44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2 263 468,70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2 263 468,70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1 882 980,00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1 882 980,00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мероприятий по формированию современной городской среды Лухского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07101L5550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мероприятий по формированию современной городской среды Лухского городского поселения за счёт средств субсидии из областного бюджета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07101R5550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Субсидии бюджетам муниципальных образований Ивановской области на реализацию проектов развития территоиий муниципальных образований Ивановской области, основанных на местных инициативах, в 2020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071F285100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 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071F2S5101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1 377 128,05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Выполнение строительного контроля за проведением работ по реализации проектов развития территорий муниципальных образований Ивановской области, основанных на местных инициативах (инициативных проектов), в 2021 году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03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0710100280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25 000,00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Культура, кинематография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16199268,98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16199268,98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b/>
                <w:b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7 844 701,84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«Обеспечение деятельности муниципального бюджетного учреждения «Культурно-досуговый комплекс Лухскогогородского поселения Лухского муниципального района Ивановской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0510100150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6 916 289,30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5 468 611,84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05101S0340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05101R5582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Расходы на обеспечение развития и укреплению материально-технической базы муниципальных домов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0510181980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развития и укреплению материально-технической базы домов культуры в населенных пунктах с числом жителей до 50 тыс. человек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05001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L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4670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736 842,11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736 842,11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 на обеспечение развития и укреплению материально-технической базы муниципальных домов культуры Лухского городского поселения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05101S1980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  <w:lang w:val="en-US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600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5 263 157,89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5 263 157,89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Основное мероприятие «Содержание и развитие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0520100000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70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lang w:val="ru-RU" w:eastAsia="en-US" w:bidi="ar-SA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3 282 979,68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"/>
                <w:lang w:val="ru-RU" w:eastAsia="en-US" w:bidi="ar-SA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2 376 090,00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3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2 009 270,18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1686090,00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1 686 090,00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131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1273509,50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1273509,50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690000,00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82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Обеспечение деятельности Муниципального казенного учреждения Лухский краеведческий музей им.Н.Н.Бенардоса (Иные бюджетные ассигнования)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0520100170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800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880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0520180340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175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Поэтапное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0340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1231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Укрепление материально-технической базы муниципальных учреждений культуры Ивановской области(Закупка товаров, работ и услуг для  обеспечения государственных (муниципальных) нужд)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08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01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05201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en-US" w:eastAsia="en-US" w:bidi="ar-SA"/>
              </w:rPr>
              <w:t>S</w:t>
            </w: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1980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200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contextualSpacing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Социальная политика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/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Доплаты к пенсиям лицам, замещавшим выборные муниципальные должности и муниципальные должности муниципальной службы Лухского городского поселения (Социальное обеспечение и иные выплаты населению)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10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0610100180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300</w:t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36 000,00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  <w:tr>
        <w:trPr>
          <w:trHeight w:val="249" w:hRule="atLeast"/>
        </w:trPr>
        <w:tc>
          <w:tcPr>
            <w:tcW w:w="2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Всего: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contextualSpacing/>
              <w:jc w:val="center"/>
              <w:rPr>
                <w:rFonts w:ascii="Times New Roman" w:hAnsi="Times New Roman" w:eastAsia="Arial Unicode MS" w:cs="Times New Roman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1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47 014129,71</w:t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47 798 047,71</w:t>
            </w:r>
          </w:p>
        </w:tc>
        <w:tc>
          <w:tcPr>
            <w:tcW w:w="99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783 918,00</w:t>
            </w:r>
          </w:p>
        </w:tc>
        <w:tc>
          <w:tcPr>
            <w:tcW w:w="11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20 766047,08</w:t>
            </w:r>
          </w:p>
        </w:tc>
        <w:tc>
          <w:tcPr>
            <w:tcW w:w="99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20 766 047,8</w:t>
            </w:r>
          </w:p>
        </w:tc>
        <w:tc>
          <w:tcPr>
            <w:tcW w:w="849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  <w:tc>
          <w:tcPr>
            <w:tcW w:w="1135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30 259 158,02</w:t>
            </w:r>
          </w:p>
        </w:tc>
        <w:tc>
          <w:tcPr>
            <w:tcW w:w="113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30 259 158,02</w:t>
            </w:r>
          </w:p>
        </w:tc>
        <w:tc>
          <w:tcPr>
            <w:tcW w:w="70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Arial Unicode MS"/>
                <w:b/>
                <w:b/>
                <w:kern w:val="2"/>
                <w:sz w:val="16"/>
                <w:szCs w:val="16"/>
              </w:rPr>
            </w:pPr>
            <w:r>
              <w:rPr>
                <w:rFonts w:eastAsia="Arial Unicode MS" w:cs="" w:ascii="Times New Roman" w:hAnsi="Times New Roman"/>
                <w:b/>
                <w:kern w:val="2"/>
                <w:sz w:val="16"/>
                <w:szCs w:val="16"/>
                <w:lang w:val="ru-RU" w:eastAsia="en-US" w:bidi="ar-SA"/>
              </w:rPr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contextualSpacing/>
        <w:jc w:val="center"/>
        <w:rPr>
          <w:rFonts w:ascii="Times New Roman" w:hAnsi="Times New Roman" w:cs="Times New Roman"/>
        </w:rPr>
      </w:pPr>
      <w:r>
        <w:rPr/>
      </w:r>
    </w:p>
    <w:sectPr>
      <w:footerReference w:type="default" r:id="rId4"/>
      <w:type w:val="nextPage"/>
      <w:pgSz w:orient="landscape" w:w="16838" w:h="11906"/>
      <w:pgMar w:left="1134" w:right="1134" w:gutter="0" w:header="0" w:top="993" w:footer="0" w:bottom="709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fldChar w:fldCharType="begin"/>
    </w:r>
    <w:r>
      <w:rPr/>
    </w:r>
    <w:r>
      <w:rPr/>
    </w:r>
    <w:r>
      <w:rPr/>
      <w:fldChar w:fldCharType="separate"/>
    </w:r>
    <w:r>
      <w:rPr/>
    </w:r>
    <w:r>
      <w:rPr/>
    </w:r>
    <w:r>
      <w:rPr/>
      <w:fldChar w:fldCharType="end"/>
    </w:r>
    <w:sdt>
      <w:sdtPr>
        <w:id w:val="118759284"/>
      </w:sdtPr>
      <w:sdtContent>
        <w:r>
          <w:rPr/>
          <w:t xml:space="preserve"> PAGE   \* MERGEFORMAT 1</w:t>
        </w:r>
      </w:sdtContent>
    </w:sdt>
  </w:p>
  <w:p>
    <w:pPr>
      <w:pStyle w:val="Style28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Normal"/>
      <w:widowControl/>
      <w:suppressAutoHyphens w:val="true"/>
      <w:bidi w:val="0"/>
      <w:spacing w:lineRule="auto" w:line="276" w:before="0" w:after="20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5e2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link w:val="13"/>
    <w:uiPriority w:val="99"/>
    <w:qFormat/>
    <w:rsid w:val="004c7ac2"/>
    <w:rPr>
      <w:rFonts w:eastAsia="Calibri" w:eastAsiaTheme="minorHAnsi"/>
      <w:lang w:eastAsia="en-US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4c7ac2"/>
    <w:rPr>
      <w:rFonts w:ascii="Tahoma" w:hAnsi="Tahoma" w:cs="Tahoma"/>
      <w:sz w:val="16"/>
      <w:szCs w:val="16"/>
    </w:rPr>
  </w:style>
  <w:style w:type="character" w:styleId="Style16" w:customStyle="1">
    <w:name w:val="Без интервала Знак"/>
    <w:link w:val="NoSpacing"/>
    <w:uiPriority w:val="1"/>
    <w:qFormat/>
    <w:rsid w:val="00737427"/>
    <w:rPr>
      <w:rFonts w:ascii="Times New Roman" w:hAnsi="Times New Roman" w:eastAsia="Times New Roman" w:cs="Times New Roman"/>
      <w:sz w:val="24"/>
      <w:szCs w:val="24"/>
    </w:rPr>
  </w:style>
  <w:style w:type="character" w:styleId="Style17" w:customStyle="1">
    <w:name w:val="Верхний колонтитул Знак"/>
    <w:basedOn w:val="DefaultParagraphFont"/>
    <w:uiPriority w:val="99"/>
    <w:semiHidden/>
    <w:qFormat/>
    <w:rsid w:val="00b12195"/>
    <w:rPr/>
  </w:style>
  <w:style w:type="character" w:styleId="1" w:customStyle="1">
    <w:name w:val="Нижний колонтитул Знак1"/>
    <w:basedOn w:val="DefaultParagraphFont"/>
    <w:uiPriority w:val="99"/>
    <w:semiHidden/>
    <w:qFormat/>
    <w:rsid w:val="00b12195"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c7266f"/>
    <w:pPr>
      <w:spacing w:before="0" w:after="140"/>
    </w:pPr>
    <w:rPr/>
  </w:style>
  <w:style w:type="paragraph" w:styleId="Style20">
    <w:name w:val="List"/>
    <w:basedOn w:val="Style19"/>
    <w:rsid w:val="00c7266f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11" w:customStyle="1">
    <w:name w:val="Заголовок1"/>
    <w:basedOn w:val="Normal"/>
    <w:next w:val="Style19"/>
    <w:qFormat/>
    <w:rsid w:val="00c7266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Название объекта1"/>
    <w:basedOn w:val="Normal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rsid w:val="00c7266f"/>
    <w:pPr>
      <w:suppressLineNumbers/>
    </w:pPr>
    <w:rPr>
      <w:rFonts w:cs="Arial"/>
    </w:rPr>
  </w:style>
  <w:style w:type="paragraph" w:styleId="Style23">
    <w:name w:val="Title"/>
    <w:basedOn w:val="Normal"/>
    <w:next w:val="Style19"/>
    <w:qFormat/>
    <w:rsid w:val="00c7266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c7266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Колонтитул"/>
    <w:basedOn w:val="Normal"/>
    <w:qFormat/>
    <w:rsid w:val="00c7266f"/>
    <w:pPr/>
    <w:rPr/>
  </w:style>
  <w:style w:type="paragraph" w:styleId="13" w:customStyle="1">
    <w:name w:val="Нижний колонтитул1"/>
    <w:basedOn w:val="Normal"/>
    <w:link w:val="Style14"/>
    <w:uiPriority w:val="99"/>
    <w:unhideWhenUsed/>
    <w:qFormat/>
    <w:rsid w:val="004c7ac2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eastAsia="Calibri" w:eastAsiaTheme="minorHAnsi"/>
      <w:lang w:eastAsia="en-US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4c7a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3403"/>
    <w:pPr>
      <w:spacing w:before="0" w:after="200"/>
      <w:ind w:left="720" w:hanging="0"/>
      <w:contextualSpacing/>
    </w:pPr>
    <w:rPr/>
  </w:style>
  <w:style w:type="paragraph" w:styleId="Style25" w:customStyle="1">
    <w:name w:val="Содержимое таблицы"/>
    <w:basedOn w:val="Normal"/>
    <w:qFormat/>
    <w:rsid w:val="00c7266f"/>
    <w:pPr>
      <w:widowControl w:val="false"/>
      <w:suppressLineNumbers/>
    </w:pPr>
    <w:rPr/>
  </w:style>
  <w:style w:type="paragraph" w:styleId="Style26" w:customStyle="1">
    <w:name w:val="Заголовок таблицы"/>
    <w:basedOn w:val="Style25"/>
    <w:qFormat/>
    <w:rsid w:val="00c7266f"/>
    <w:pPr>
      <w:jc w:val="center"/>
    </w:pPr>
    <w:rPr>
      <w:b/>
      <w:bCs/>
    </w:rPr>
  </w:style>
  <w:style w:type="paragraph" w:styleId="NoSpacing">
    <w:name w:val="No Spacing"/>
    <w:link w:val="Style16"/>
    <w:uiPriority w:val="1"/>
    <w:qFormat/>
    <w:rsid w:val="00737427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27">
    <w:name w:val="Header"/>
    <w:basedOn w:val="Normal"/>
    <w:link w:val="Style17"/>
    <w:uiPriority w:val="99"/>
    <w:semiHidden/>
    <w:unhideWhenUsed/>
    <w:rsid w:val="00b121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8">
    <w:name w:val="Footer"/>
    <w:basedOn w:val="Normal"/>
    <w:link w:val="1"/>
    <w:uiPriority w:val="99"/>
    <w:unhideWhenUsed/>
    <w:rsid w:val="00b1219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ef7c46"/>
    <w:rPr>
      <w:rFonts w:eastAsiaTheme="minorHAnsi"/>
      <w:lang w:eastAsia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786A-E920-4B74-97FF-55CD7B16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Application>LibreOffice/7.3.4.2$Windows_X86_64 LibreOffice_project/728fec16bd5f605073805c3c9e7c4212a0120dc5</Application>
  <AppVersion>15.0000</AppVersion>
  <Pages>26</Pages>
  <Words>7727</Words>
  <Characters>49417</Characters>
  <CharactersWithSpaces>55175</CharactersWithSpaces>
  <Paragraphs>2330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2024-11-17T16:30:00Z</dcterms:created>
  <dc:creator>dell</dc:creator>
  <dc:description/>
  <dc:language>ru-RU</dc:language>
  <cp:lastModifiedBy>Смирнова</cp:lastModifiedBy>
  <cp:lastPrinted>2024-10-21T13:44:00Z</cp:lastPrinted>
  <dcterms:modified xsi:type="dcterms:W3CDTF">2024-11-29T08:19:00Z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