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charts/chart1.xml" ContentType="application/vnd.openxmlformats-officedocument.drawingml.chart+xml"/>
  <Override PartName="/word/charts/_rels/chart1.xml.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embeddings/_____Microsoft_Excel.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000000"/>
        </w:rPr>
      </w:pPr>
      <w:r>
        <w:rPr/>
        <w:drawing>
          <wp:inline distT="0" distB="0" distL="0" distR="0">
            <wp:extent cx="581025" cy="73279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33" t="-27" r="-33" b="-27"/>
                    <a:stretch>
                      <a:fillRect/>
                    </a:stretch>
                  </pic:blipFill>
                  <pic:spPr bwMode="auto">
                    <a:xfrm>
                      <a:off x="0" y="0"/>
                      <a:ext cx="581025" cy="732790"/>
                    </a:xfrm>
                    <a:prstGeom prst="rect">
                      <a:avLst/>
                    </a:prstGeom>
                  </pic:spPr>
                </pic:pic>
              </a:graphicData>
            </a:graphic>
          </wp:inline>
        </w:drawing>
      </w:r>
      <w:r>
        <w:rPr>
          <w:color w:val="000000"/>
        </w:rPr>
        <w:tab/>
      </w:r>
    </w:p>
    <w:p>
      <w:pPr>
        <w:pStyle w:val="Normal"/>
        <w:spacing w:before="0" w:after="200"/>
        <w:contextualSpacing/>
        <w:jc w:val="center"/>
        <w:rPr>
          <w:color w:val="000000"/>
        </w:rPr>
      </w:pPr>
      <w:r>
        <w:rPr>
          <w:b/>
          <w:color w:val="000000"/>
          <w:sz w:val="28"/>
          <w:szCs w:val="28"/>
        </w:rPr>
        <w:t xml:space="preserve">КОНТРОЛЬНО-СЧЕТНЫЙ ОРГАН </w:t>
      </w:r>
    </w:p>
    <w:p>
      <w:pPr>
        <w:pStyle w:val="Normal"/>
        <w:spacing w:before="0" w:after="200"/>
        <w:contextualSpacing/>
        <w:jc w:val="center"/>
        <w:rPr>
          <w:color w:val="000000"/>
        </w:rPr>
      </w:pPr>
      <w:r>
        <w:rPr>
          <w:b/>
          <w:color w:val="000000"/>
          <w:sz w:val="28"/>
          <w:szCs w:val="28"/>
        </w:rPr>
        <w:t>ЛУХСКОГО МУНИЦИПАЛЬНОГО РАЙОНА</w:t>
      </w:r>
    </w:p>
    <w:p>
      <w:pPr>
        <w:pStyle w:val="Normal"/>
        <w:spacing w:before="0" w:after="200"/>
        <w:contextualSpacing/>
        <w:jc w:val="center"/>
        <w:rPr>
          <w:color w:val="000000"/>
        </w:rPr>
      </w:pPr>
      <w:r>
        <w:rPr>
          <w:b/>
          <w:color w:val="000000"/>
          <w:sz w:val="28"/>
          <w:szCs w:val="28"/>
        </w:rPr>
        <w:t>ИВАНОВСКОЙ ОБЛАСТИ</w:t>
      </w:r>
    </w:p>
    <w:p>
      <w:pPr>
        <w:pStyle w:val="Normal"/>
        <w:spacing w:before="0" w:after="200"/>
        <w:contextualSpacing/>
        <w:jc w:val="center"/>
        <w:rPr>
          <w:color w:val="000000"/>
        </w:rPr>
      </w:pPr>
      <w:r>
        <w:rPr>
          <w:b/>
          <w:color w:val="000000"/>
          <w:sz w:val="28"/>
          <w:szCs w:val="28"/>
        </w:rPr>
        <w:t>______________________________________________________________</w:t>
      </w:r>
    </w:p>
    <w:p>
      <w:pPr>
        <w:pStyle w:val="Normal"/>
        <w:spacing w:before="0" w:after="200"/>
        <w:contextualSpacing/>
        <w:jc w:val="center"/>
        <w:rPr>
          <w:color w:val="000000"/>
        </w:rPr>
      </w:pPr>
      <w:r>
        <w:rPr>
          <w:color w:val="000000"/>
        </w:rPr>
        <w:t xml:space="preserve">155270, Ивановская область, п.Лух, ул.Октябрьская,д.4., тел. 8(49344) 2-12-61   </w:t>
      </w:r>
    </w:p>
    <w:p>
      <w:pPr>
        <w:pStyle w:val="Normal"/>
        <w:spacing w:before="0" w:after="200"/>
        <w:contextualSpacing/>
        <w:jc w:val="center"/>
        <w:rPr>
          <w:color w:val="000000"/>
        </w:rPr>
      </w:pPr>
      <w:r>
        <w:rPr>
          <w:color w:val="000000"/>
          <w:lang w:val="en-US"/>
        </w:rPr>
        <w:t>E</w:t>
      </w:r>
      <w:r>
        <w:rPr>
          <w:color w:val="000000"/>
        </w:rPr>
        <w:t>-</w:t>
      </w:r>
      <w:r>
        <w:rPr>
          <w:color w:val="000000"/>
          <w:lang w:val="en-US"/>
        </w:rPr>
        <w:t>mail</w:t>
      </w:r>
      <w:r>
        <w:rPr>
          <w:color w:val="000000"/>
        </w:rPr>
        <w:t xml:space="preserve">:  </w:t>
      </w:r>
      <w:r>
        <w:rPr>
          <w:color w:val="000000"/>
          <w:lang w:val="en-US"/>
        </w:rPr>
        <w:t>luhkso</w:t>
      </w:r>
      <w:r>
        <w:rPr>
          <w:color w:val="000000"/>
        </w:rPr>
        <w:t>@</w:t>
      </w:r>
      <w:r>
        <w:rPr>
          <w:color w:val="000000"/>
          <w:lang w:val="en-US"/>
        </w:rPr>
        <w:t>yandex</w:t>
      </w:r>
      <w:r>
        <w:rPr>
          <w:color w:val="000000"/>
        </w:rPr>
        <w:t>.</w:t>
      </w:r>
      <w:r>
        <w:rPr>
          <w:color w:val="000000"/>
          <w:lang w:val="en-US"/>
        </w:rPr>
        <w:t>ru</w:t>
      </w:r>
      <w:r>
        <w:rPr>
          <w:color w:val="000000"/>
        </w:rPr>
        <w:t xml:space="preserve">       </w:t>
      </w:r>
    </w:p>
    <w:p>
      <w:pPr>
        <w:pStyle w:val="Normal"/>
        <w:spacing w:before="0" w:after="200"/>
        <w:contextualSpacing/>
        <w:jc w:val="center"/>
        <w:rPr>
          <w:b/>
          <w:b/>
          <w:color w:val="000000"/>
        </w:rPr>
      </w:pPr>
      <w:r>
        <w:rPr>
          <w:b/>
          <w:color w:val="000000"/>
        </w:rPr>
      </w:r>
    </w:p>
    <w:p>
      <w:pPr>
        <w:pStyle w:val="Normal"/>
        <w:spacing w:before="0" w:after="200"/>
        <w:contextualSpacing/>
        <w:jc w:val="right"/>
        <w:rPr>
          <w:color w:val="000000"/>
        </w:rPr>
      </w:pPr>
      <w:r>
        <w:rPr>
          <w:b/>
          <w:color w:val="000000"/>
          <w:sz w:val="28"/>
          <w:szCs w:val="28"/>
        </w:rPr>
        <w:t xml:space="preserve">«25» ноября  2024 года                                                                          </w:t>
      </w:r>
    </w:p>
    <w:p>
      <w:pPr>
        <w:pStyle w:val="Normal"/>
        <w:spacing w:before="0" w:after="200"/>
        <w:contextualSpacing/>
        <w:jc w:val="center"/>
        <w:rPr>
          <w:b/>
          <w:b/>
          <w:color w:val="000000"/>
          <w:sz w:val="28"/>
          <w:szCs w:val="28"/>
        </w:rPr>
      </w:pPr>
      <w:r>
        <w:rPr>
          <w:b/>
          <w:color w:val="000000"/>
          <w:sz w:val="28"/>
          <w:szCs w:val="28"/>
        </w:rPr>
      </w:r>
    </w:p>
    <w:p>
      <w:pPr>
        <w:pStyle w:val="Normal"/>
        <w:jc w:val="center"/>
        <w:rPr>
          <w:color w:val="000000"/>
        </w:rPr>
      </w:pPr>
      <w:r>
        <w:rPr>
          <w:b/>
          <w:color w:val="000000"/>
          <w:sz w:val="32"/>
          <w:szCs w:val="32"/>
        </w:rPr>
        <w:t>ЗАКЛЮЧЕНИЕ № 68</w:t>
      </w:r>
    </w:p>
    <w:p>
      <w:pPr>
        <w:pStyle w:val="Normal"/>
        <w:jc w:val="center"/>
        <w:rPr>
          <w:color w:val="000000"/>
        </w:rPr>
      </w:pPr>
      <w:r>
        <w:rPr>
          <w:b/>
          <w:color w:val="000000"/>
          <w:sz w:val="28"/>
          <w:szCs w:val="28"/>
        </w:rPr>
        <w:t>по результатам  проведения экспертно-аналитического мероприятия «Экспертиза проекта решения Совета Порздневского  сельского поселения «О бюджете  Порздневского  сельского поселения на 2025 год и плановый период 2026 - 2027 годов» к первому чтению</w:t>
      </w:r>
    </w:p>
    <w:p>
      <w:pPr>
        <w:pStyle w:val="Normal"/>
        <w:jc w:val="center"/>
        <w:rPr>
          <w:b/>
          <w:b/>
          <w:color w:val="000000"/>
          <w:sz w:val="28"/>
          <w:szCs w:val="28"/>
        </w:rPr>
      </w:pPr>
      <w:r>
        <w:rPr>
          <w:b/>
          <w:color w:val="000000"/>
          <w:sz w:val="28"/>
          <w:szCs w:val="28"/>
        </w:rPr>
      </w:r>
    </w:p>
    <w:p>
      <w:pPr>
        <w:pStyle w:val="Normal"/>
        <w:spacing w:lineRule="auto" w:line="360"/>
        <w:jc w:val="center"/>
        <w:rPr>
          <w:color w:val="000000"/>
        </w:rPr>
      </w:pPr>
      <w:r>
        <w:rPr>
          <w:b/>
          <w:color w:val="000000"/>
          <w:sz w:val="28"/>
          <w:szCs w:val="28"/>
        </w:rPr>
        <w:t>Общие положения</w:t>
      </w:r>
    </w:p>
    <w:p>
      <w:pPr>
        <w:pStyle w:val="Normal"/>
        <w:ind w:firstLine="567"/>
        <w:jc w:val="both"/>
        <w:rPr>
          <w:color w:val="000000"/>
        </w:rPr>
      </w:pPr>
      <w:r>
        <w:rPr>
          <w:color w:val="000000"/>
          <w:sz w:val="28"/>
          <w:szCs w:val="28"/>
        </w:rPr>
        <w:t xml:space="preserve">Настоящее заключение подготовлено Контрольно-счетным органом Лухского муниципального района на проект решения Совета Порздневского сельского поселения «О бюджете Порздневского сельского поселения на 2025 год и плановый период 2026 и 2027 годов» (далее – проект решения о бюджете) в соответствии с Бюджетным кодексом Российской Федерации (далее БК РФ), Уставом   Порздневского сельского поселения, решением Совета  Порздневского сельского поселения от 22.05.2014 г.  № 5 «О  бюджетном процессе  в Порздневском сельском поселении» (в актуальной редакции), решением Совета  Порздневского сельского поселения от </w:t>
      </w:r>
      <w:r>
        <w:rPr>
          <w:color w:val="000000"/>
          <w:sz w:val="28"/>
          <w:szCs w:val="28"/>
          <w:lang w:val="en-US"/>
        </w:rPr>
        <w:t>29.12.2023г</w:t>
      </w:r>
      <w:r>
        <w:rPr>
          <w:color w:val="000000"/>
          <w:sz w:val="28"/>
          <w:szCs w:val="28"/>
        </w:rPr>
        <w:t>.  №</w:t>
      </w:r>
      <w:r>
        <w:rPr>
          <w:color w:val="000000"/>
          <w:sz w:val="28"/>
          <w:szCs w:val="28"/>
          <w:lang w:val="en-US"/>
        </w:rPr>
        <w:t xml:space="preserve"> 32 «</w:t>
      </w:r>
      <w:r>
        <w:rPr>
          <w:rFonts w:cs="Times New Roman"/>
          <w:b w:val="false"/>
          <w:color w:val="000000"/>
          <w:sz w:val="28"/>
          <w:szCs w:val="28"/>
          <w:lang w:val="en-US"/>
        </w:rPr>
        <w:t>О передаче  Контрольно-счетному органу Лухского муниципального района полномочий Контрольно-счетн</w:t>
      </w:r>
      <w:r>
        <w:rPr>
          <w:rFonts w:cs="Times New Roman"/>
          <w:b w:val="false"/>
          <w:color w:val="000000"/>
          <w:sz w:val="28"/>
          <w:szCs w:val="28"/>
          <w:lang w:val="ru-RU"/>
        </w:rPr>
        <w:t>ой</w:t>
      </w:r>
      <w:r>
        <w:rPr>
          <w:rFonts w:cs="Times New Roman"/>
          <w:b w:val="false"/>
          <w:color w:val="000000"/>
          <w:sz w:val="28"/>
          <w:szCs w:val="28"/>
          <w:lang w:val="en-US"/>
        </w:rPr>
        <w:t xml:space="preserve"> комиссии  </w:t>
      </w:r>
      <w:r>
        <w:rPr>
          <w:rFonts w:cs="Times New Roman"/>
          <w:b w:val="false"/>
          <w:color w:val="000000"/>
          <w:sz w:val="28"/>
          <w:szCs w:val="28"/>
          <w:lang w:val="ru-RU"/>
        </w:rPr>
        <w:t>Порздне</w:t>
      </w:r>
      <w:r>
        <w:rPr>
          <w:rFonts w:cs="Times New Roman"/>
          <w:b w:val="false"/>
          <w:color w:val="000000"/>
          <w:sz w:val="28"/>
          <w:szCs w:val="28"/>
          <w:lang w:val="en-US"/>
        </w:rPr>
        <w:t xml:space="preserve">вского сельского поселения </w:t>
      </w:r>
      <w:r>
        <w:rPr>
          <w:rFonts w:cs="Times New Roman"/>
          <w:b w:val="false"/>
          <w:color w:val="000000"/>
          <w:sz w:val="28"/>
          <w:szCs w:val="28"/>
          <w:lang w:val="ru-RU"/>
        </w:rPr>
        <w:t>Лухского муниципального района</w:t>
      </w:r>
      <w:r>
        <w:rPr>
          <w:color w:val="000000"/>
          <w:sz w:val="28"/>
          <w:szCs w:val="28"/>
          <w:lang w:val="en-US"/>
        </w:rPr>
        <w:t>»</w:t>
      </w:r>
      <w:r>
        <w:rPr>
          <w:color w:val="000000"/>
          <w:sz w:val="28"/>
          <w:szCs w:val="28"/>
        </w:rPr>
        <w:t xml:space="preserve">,  Соглашения от 30.01.2024 г. № 2 «О передаче  Контрольно-счетному органу Лухского муниципального района полномочий Контрольно-счетных комиссии  Порздневского сельского поселения по осуществлению внешнего финансового контроля» между Советом Порздневского сельского поселения, Советом Лухского муниципального района и Контрольно-счетным органом Лухского муниципального района, распоряжением председателя Контрольно-счетного органа от 15.11.2024г. № 64. </w:t>
      </w:r>
    </w:p>
    <w:p>
      <w:pPr>
        <w:pStyle w:val="Normal"/>
        <w:spacing w:before="0" w:after="0"/>
        <w:contextualSpacing/>
        <w:jc w:val="both"/>
        <w:rPr>
          <w:color w:val="000000"/>
        </w:rPr>
      </w:pPr>
      <w:r>
        <w:rPr>
          <w:b/>
          <w:color w:val="000000"/>
          <w:sz w:val="28"/>
          <w:szCs w:val="28"/>
        </w:rPr>
        <w:t xml:space="preserve">     </w:t>
      </w:r>
      <w:r>
        <w:rPr>
          <w:b/>
          <w:color w:val="000000"/>
          <w:sz w:val="28"/>
          <w:szCs w:val="28"/>
        </w:rPr>
        <w:t>Предмет экспертно-аналитического мероприятия:</w:t>
      </w:r>
      <w:r>
        <w:rPr>
          <w:color w:val="000000"/>
          <w:sz w:val="28"/>
          <w:szCs w:val="28"/>
        </w:rPr>
        <w:t xml:space="preserve"> проект решения Совета Порздневского сельского поселения «О бюджете  Порздневского сельского поселения на 2025 год и плановый период 2026 и 2027 годов» (к первому чтению) с приложениями, а также документы и материалы, предоставленные одновременно с ним.</w:t>
      </w:r>
    </w:p>
    <w:p>
      <w:pPr>
        <w:pStyle w:val="Normal"/>
        <w:jc w:val="both"/>
        <w:rPr>
          <w:color w:val="000000"/>
        </w:rPr>
      </w:pPr>
      <w:r>
        <w:rPr>
          <w:b/>
          <w:color w:val="000000"/>
          <w:sz w:val="28"/>
          <w:szCs w:val="28"/>
        </w:rPr>
        <w:t xml:space="preserve">     </w:t>
      </w:r>
      <w:r>
        <w:rPr>
          <w:b/>
          <w:color w:val="000000"/>
          <w:sz w:val="28"/>
          <w:szCs w:val="28"/>
        </w:rPr>
        <w:t>Цель экспертно-аналитического мероприятия:</w:t>
      </w:r>
      <w:r>
        <w:rPr>
          <w:color w:val="000000"/>
          <w:sz w:val="28"/>
          <w:szCs w:val="28"/>
        </w:rPr>
        <w:t xml:space="preserve"> определение соблюдения нормативно-правовых актов Российской Федерации, Ивановской области и Лухского муниципального района (далее – действующее законодательство) при составлении и внесении проекта бюджета Порздневского сельского поселения.</w:t>
      </w:r>
      <w:r>
        <w:rPr>
          <w:b/>
          <w:color w:val="000000"/>
          <w:sz w:val="28"/>
          <w:szCs w:val="28"/>
        </w:rPr>
        <w:t xml:space="preserve">   </w:t>
      </w:r>
    </w:p>
    <w:p>
      <w:pPr>
        <w:pStyle w:val="Normal"/>
        <w:spacing w:before="0" w:after="0"/>
        <w:contextualSpacing/>
        <w:jc w:val="both"/>
        <w:rPr>
          <w:color w:val="000000"/>
        </w:rPr>
      </w:pPr>
      <w:r>
        <w:rPr>
          <w:b/>
          <w:color w:val="000000"/>
          <w:sz w:val="28"/>
          <w:szCs w:val="28"/>
        </w:rPr>
        <w:t xml:space="preserve">     </w:t>
      </w:r>
      <w:r>
        <w:rPr>
          <w:b/>
          <w:color w:val="000000"/>
          <w:sz w:val="28"/>
          <w:szCs w:val="28"/>
        </w:rPr>
        <w:t>Объекты экспертно-аналитического мероприятия:</w:t>
      </w:r>
    </w:p>
    <w:p>
      <w:pPr>
        <w:pStyle w:val="Normal"/>
        <w:spacing w:before="0" w:after="0"/>
        <w:contextualSpacing/>
        <w:jc w:val="both"/>
        <w:rPr>
          <w:color w:val="000000"/>
        </w:rPr>
      </w:pPr>
      <w:r>
        <w:rPr>
          <w:b/>
          <w:color w:val="000000"/>
          <w:sz w:val="28"/>
          <w:szCs w:val="28"/>
        </w:rPr>
        <w:t xml:space="preserve">- </w:t>
      </w:r>
      <w:r>
        <w:rPr>
          <w:color w:val="000000"/>
          <w:sz w:val="28"/>
          <w:szCs w:val="28"/>
        </w:rPr>
        <w:t>Администрация Порздневского сельского поселения, как орган, уполномоченный на составление проекта бюджета Порздневского сельского поселения, а также на внесение его с необходимыми документами на рассмотрение Совета Порздневского сельского поселения;</w:t>
      </w:r>
    </w:p>
    <w:p>
      <w:pPr>
        <w:pStyle w:val="Normal"/>
        <w:spacing w:before="0" w:after="0"/>
        <w:contextualSpacing/>
        <w:jc w:val="both"/>
        <w:rPr>
          <w:color w:val="000000"/>
        </w:rPr>
      </w:pPr>
      <w:r>
        <w:rPr>
          <w:color w:val="000000"/>
          <w:sz w:val="28"/>
          <w:szCs w:val="28"/>
        </w:rPr>
        <w:t>- Совет Порздневского сельского поселения, как орган, уполномоченный на рассмотрение и принятие проекта бюджета Порздневского сельского поселения.</w:t>
      </w:r>
    </w:p>
    <w:p>
      <w:pPr>
        <w:pStyle w:val="Normal"/>
        <w:spacing w:before="0" w:after="0"/>
        <w:contextualSpacing/>
        <w:jc w:val="both"/>
        <w:rPr>
          <w:color w:val="000000"/>
        </w:rPr>
      </w:pPr>
      <w:r>
        <w:rPr>
          <w:b/>
          <w:color w:val="000000"/>
          <w:sz w:val="28"/>
          <w:szCs w:val="28"/>
        </w:rPr>
        <w:t xml:space="preserve">     </w:t>
      </w:r>
      <w:r>
        <w:rPr>
          <w:b/>
          <w:color w:val="000000"/>
          <w:sz w:val="28"/>
          <w:szCs w:val="28"/>
        </w:rPr>
        <w:t xml:space="preserve">Срок проведения экспертно-аналитического мероприятия: </w:t>
      </w:r>
      <w:r>
        <w:rPr>
          <w:color w:val="000000"/>
          <w:sz w:val="28"/>
          <w:szCs w:val="28"/>
        </w:rPr>
        <w:t>с 15.11.2024г. по 25.11.2024г.</w:t>
      </w:r>
    </w:p>
    <w:p>
      <w:pPr>
        <w:pStyle w:val="Normal"/>
        <w:spacing w:before="0" w:after="0"/>
        <w:contextualSpacing/>
        <w:jc w:val="both"/>
        <w:rPr>
          <w:color w:val="000000"/>
        </w:rPr>
      </w:pPr>
      <w:r>
        <w:rPr>
          <w:b/>
          <w:color w:val="000000"/>
          <w:sz w:val="28"/>
          <w:szCs w:val="28"/>
        </w:rPr>
        <w:t xml:space="preserve">     </w:t>
      </w:r>
      <w:r>
        <w:rPr>
          <w:b/>
          <w:color w:val="000000"/>
          <w:sz w:val="28"/>
          <w:szCs w:val="28"/>
        </w:rPr>
        <w:t>Руководитель экспертно-аналитического мероприятия:</w:t>
      </w:r>
      <w:r>
        <w:rPr>
          <w:color w:val="000000"/>
          <w:sz w:val="28"/>
          <w:szCs w:val="28"/>
        </w:rPr>
        <w:t xml:space="preserve"> Председатель Контрольно-счетного органа Лухского муниципального района Смирнова Ольга Павловна.</w:t>
      </w:r>
    </w:p>
    <w:p>
      <w:pPr>
        <w:pStyle w:val="Normal"/>
        <w:spacing w:before="0" w:after="0"/>
        <w:contextualSpacing/>
        <w:jc w:val="both"/>
        <w:rPr>
          <w:color w:val="000000"/>
        </w:rPr>
      </w:pPr>
      <w:r>
        <w:rPr>
          <w:color w:val="000000"/>
          <w:sz w:val="28"/>
          <w:szCs w:val="28"/>
        </w:rPr>
        <w:t xml:space="preserve">     </w:t>
      </w:r>
      <w:r>
        <w:rPr>
          <w:color w:val="000000"/>
          <w:sz w:val="28"/>
          <w:szCs w:val="28"/>
        </w:rPr>
        <w:t>В ходе проведения экспертно-аналитического мероприятия Контрольно-счетным органом Лухского муниципального района установлено следующее:</w:t>
      </w:r>
    </w:p>
    <w:p>
      <w:pPr>
        <w:pStyle w:val="Normal"/>
        <w:spacing w:before="0" w:after="0"/>
        <w:contextualSpacing/>
        <w:jc w:val="both"/>
        <w:rPr>
          <w:color w:val="000000"/>
        </w:rPr>
      </w:pPr>
      <w:r>
        <w:rPr>
          <w:color w:val="000000"/>
          <w:sz w:val="28"/>
          <w:szCs w:val="28"/>
        </w:rPr>
        <w:t xml:space="preserve">     </w:t>
      </w:r>
      <w:r>
        <w:rPr>
          <w:color w:val="000000"/>
          <w:sz w:val="28"/>
          <w:szCs w:val="28"/>
        </w:rPr>
        <w:t>Проект бюджета Порздневского сельского поселения на 2025 год и на плановый период 2026 и 2027 годов к первому чтению представлен в виде проекта решения Совета Порздневского сельского поселения «О бюджете Порздневского сельского поселения на 2025 год и на плановый период 2026 и 2027 годов» с приложениями.</w:t>
      </w:r>
    </w:p>
    <w:p>
      <w:pPr>
        <w:pStyle w:val="Normal"/>
        <w:spacing w:before="0" w:after="0"/>
        <w:contextualSpacing/>
        <w:jc w:val="both"/>
        <w:rPr>
          <w:color w:val="000000"/>
        </w:rPr>
      </w:pPr>
      <w:r>
        <w:rPr>
          <w:color w:val="000000"/>
          <w:sz w:val="28"/>
          <w:szCs w:val="28"/>
        </w:rPr>
        <w:t xml:space="preserve">     </w:t>
      </w:r>
      <w:r>
        <w:rPr>
          <w:color w:val="000000"/>
          <w:sz w:val="28"/>
          <w:szCs w:val="28"/>
        </w:rPr>
        <w:t>В соответствии с пунктом 4 статьи 169 БК РФ проект утверждается сроком на три года -  очередной финансовый год и плановый период.</w:t>
      </w:r>
    </w:p>
    <w:p>
      <w:pPr>
        <w:pStyle w:val="Normal"/>
        <w:jc w:val="both"/>
        <w:rPr>
          <w:color w:val="000000"/>
        </w:rPr>
      </w:pPr>
      <w:r>
        <w:rPr>
          <w:color w:val="000000"/>
          <w:sz w:val="28"/>
          <w:szCs w:val="28"/>
        </w:rPr>
        <w:t xml:space="preserve">     </w:t>
      </w:r>
      <w:r>
        <w:rPr>
          <w:color w:val="000000"/>
          <w:sz w:val="28"/>
          <w:szCs w:val="28"/>
        </w:rPr>
        <w:t>При подготовке заключения Контрольно-счетный орган учитывал необходимость реализации положений, содержащихся в послании Президента Российской Федерации Федеральному Собранию, основными  направлениями налоговой политики Российской Федерации на 2025 год и плановый период 2026 и 2027 гг., одобренными Правительством Российской Федерации, основными направлениями бюджетной и налоговой политики  Порздневского сельского поселения на 2025 год и на плановый период 2026-2027гг., утвержденными постановлением  администрации  Порздневского  сельского поселения от 14.10.2024 года № 41 (в соответствии со ст. 172 Бюджетного кодекса РФ). Проект бюджета составлен в соответствии с действующим налоговым и бюджетным законодательством, с учетом принятых федеральных и областных законов, вступающих в действие с                    1 января 2025 года.</w:t>
      </w:r>
    </w:p>
    <w:p>
      <w:pPr>
        <w:pStyle w:val="Normal"/>
        <w:jc w:val="both"/>
        <w:rPr>
          <w:color w:val="000000"/>
        </w:rPr>
      </w:pPr>
      <w:r>
        <w:rPr>
          <w:color w:val="000000"/>
          <w:sz w:val="28"/>
          <w:szCs w:val="28"/>
        </w:rPr>
        <w:t xml:space="preserve">     </w:t>
      </w:r>
      <w:r>
        <w:rPr>
          <w:color w:val="000000"/>
          <w:sz w:val="28"/>
          <w:szCs w:val="28"/>
        </w:rPr>
        <w:t>В соответствии со статьей 174.2 БК РФ разработан  Порядок составления проекта бюджета  Порздневского сельского поселения, который утвержден постановлением администрации Порздневского сельского поселения от 24.06.2013г. № 41, сроки подготовки документов при разработке проекта решения о бюджете определяются статьей 6 данного Порядка.</w:t>
      </w:r>
    </w:p>
    <w:p>
      <w:pPr>
        <w:pStyle w:val="Normal"/>
        <w:jc w:val="both"/>
        <w:rPr>
          <w:color w:val="000000"/>
        </w:rPr>
      </w:pPr>
      <w:r>
        <w:rPr>
          <w:color w:val="000000"/>
          <w:sz w:val="28"/>
          <w:szCs w:val="28"/>
        </w:rPr>
        <w:t xml:space="preserve">     </w:t>
      </w:r>
      <w:r>
        <w:rPr>
          <w:color w:val="000000"/>
          <w:sz w:val="28"/>
          <w:szCs w:val="28"/>
        </w:rPr>
        <w:t>Прогноз социально-экономического развития Порздневского сельского поселения на 2025 – 2027 гг. на момент подготовки настоящего заключения одобрен постановлением администрации Порздневского сельского поселения от 28.10.2024г. № 45. Порядок разработки прогноза социально-экономического развития Порздневского сельского поселения утвержден постановлением администрации Порздневского сельского поселения от 20.08.2013г. №50 (в действующей редакции ).</w:t>
      </w:r>
    </w:p>
    <w:p>
      <w:pPr>
        <w:pStyle w:val="Normal"/>
        <w:jc w:val="both"/>
        <w:rPr>
          <w:color w:val="000000"/>
        </w:rPr>
      </w:pPr>
      <w:r>
        <w:rPr>
          <w:color w:val="000000"/>
          <w:sz w:val="28"/>
          <w:szCs w:val="28"/>
        </w:rPr>
        <w:t xml:space="preserve">     </w:t>
      </w:r>
      <w:r>
        <w:rPr>
          <w:color w:val="000000"/>
          <w:sz w:val="28"/>
          <w:szCs w:val="28"/>
        </w:rPr>
        <w:t>Проект бюджета внесен администрацией Порздневского сельского поселения на рассмотрение Совета Порздневского сельского поселения в соответствии с пунктом 7.1 статьи 7 Положения о бюджетном процессе Порздневского сельского поселения, т.е. в срок до 15.11.2024г. Данный проект направлен в Контрольно-счетный орган Лухского муниципального района для составления заключения о соответствии предоставленных документов и материалов.</w:t>
      </w:r>
    </w:p>
    <w:p>
      <w:pPr>
        <w:pStyle w:val="Normal"/>
        <w:jc w:val="both"/>
        <w:rPr>
          <w:color w:val="000000"/>
        </w:rPr>
      </w:pPr>
      <w:r>
        <w:rPr>
          <w:color w:val="000000"/>
          <w:sz w:val="28"/>
          <w:szCs w:val="28"/>
        </w:rPr>
        <w:t xml:space="preserve">     </w:t>
      </w:r>
      <w:r>
        <w:rPr>
          <w:color w:val="000000"/>
          <w:sz w:val="28"/>
          <w:szCs w:val="28"/>
        </w:rPr>
        <w:t>Перечень и содержание документов, предоставленных одновременно с проектом решения на 2025 год и плановый период 2026 и 2027гг. соответствует статье 184.2 БК РФ в действующей редакции.</w:t>
      </w:r>
    </w:p>
    <w:p>
      <w:pPr>
        <w:pStyle w:val="Normal"/>
        <w:jc w:val="both"/>
        <w:rPr>
          <w:color w:val="000000"/>
        </w:rPr>
      </w:pPr>
      <w:r>
        <w:rPr>
          <w:color w:val="000000"/>
          <w:sz w:val="28"/>
          <w:szCs w:val="28"/>
        </w:rPr>
        <w:t xml:space="preserve">     </w:t>
      </w:r>
      <w:r>
        <w:rPr>
          <w:color w:val="000000"/>
          <w:sz w:val="28"/>
          <w:szCs w:val="28"/>
        </w:rPr>
        <w:t>Заключение Контрольно-счетного органа Лухского муниципального района подготовлено согласно соглашению о передаче части полномочий по осуществлению внешнего финансового контроля от 30.01.2024 г. № 2.</w:t>
      </w:r>
    </w:p>
    <w:p>
      <w:pPr>
        <w:pStyle w:val="Normal"/>
        <w:ind w:firstLine="708"/>
        <w:jc w:val="center"/>
        <w:rPr>
          <w:color w:val="000000"/>
        </w:rPr>
      </w:pPr>
      <w:r>
        <w:rPr>
          <w:b/>
          <w:color w:val="000000"/>
          <w:sz w:val="28"/>
          <w:szCs w:val="28"/>
        </w:rPr>
        <w:t xml:space="preserve">Общая характеристика проекта Решения Совета  Порздневского сельского поселения «О бюджете  Порздневского сельского поселения </w:t>
      </w:r>
    </w:p>
    <w:p>
      <w:pPr>
        <w:pStyle w:val="Normal"/>
        <w:ind w:firstLine="708"/>
        <w:jc w:val="center"/>
        <w:rPr>
          <w:color w:val="000000"/>
        </w:rPr>
      </w:pPr>
      <w:r>
        <w:rPr>
          <w:b/>
          <w:color w:val="000000"/>
          <w:sz w:val="28"/>
          <w:szCs w:val="28"/>
        </w:rPr>
        <w:t>на 2025 год и плановый период 2026 и 2027годов»</w:t>
      </w:r>
    </w:p>
    <w:p>
      <w:pPr>
        <w:pStyle w:val="Normal"/>
        <w:jc w:val="both"/>
        <w:rPr>
          <w:color w:val="000000"/>
        </w:rPr>
      </w:pPr>
      <w:r>
        <w:rPr>
          <w:color w:val="000000"/>
          <w:sz w:val="28"/>
          <w:szCs w:val="28"/>
        </w:rPr>
        <w:t xml:space="preserve">     </w:t>
      </w:r>
      <w:r>
        <w:rPr>
          <w:color w:val="000000"/>
          <w:sz w:val="28"/>
          <w:szCs w:val="28"/>
        </w:rPr>
        <w:t>Согласно бюджетному законодательству, за сельским поселением на постоянной основе закреплены налоговые и неналоговые доходы, они самостоятельно определяют свои расходные обязательства в рамках закрепленных полномочий. Однако имеются закрепленные за  сельскими поселениями доходы не связаные с производственной деятельностью предприятий, находящихся на их территории. Данные доходы перераспределяются между федеральным и региональным бюджетами.</w:t>
      </w:r>
    </w:p>
    <w:p>
      <w:pPr>
        <w:pStyle w:val="Normal"/>
        <w:jc w:val="both"/>
        <w:rPr>
          <w:color w:val="000000"/>
        </w:rPr>
      </w:pPr>
      <w:r>
        <w:rPr>
          <w:color w:val="000000"/>
          <w:sz w:val="28"/>
          <w:szCs w:val="28"/>
        </w:rPr>
        <w:t xml:space="preserve">     </w:t>
      </w:r>
      <w:r>
        <w:rPr>
          <w:color w:val="000000"/>
          <w:sz w:val="28"/>
          <w:szCs w:val="28"/>
        </w:rPr>
        <w:t>В соответствии со статьей 184.1 БК РФ проект бюджета Порздневского сельского поселения содержит следующие основные характеристики:</w:t>
      </w:r>
    </w:p>
    <w:p>
      <w:pPr>
        <w:pStyle w:val="Normal"/>
        <w:jc w:val="both"/>
        <w:rPr>
          <w:color w:val="000000"/>
        </w:rPr>
      </w:pPr>
      <w:r>
        <w:rPr>
          <w:color w:val="000000"/>
          <w:sz w:val="28"/>
          <w:szCs w:val="28"/>
        </w:rPr>
        <w:t xml:space="preserve">    </w:t>
      </w:r>
      <w:r>
        <w:rPr>
          <w:color w:val="000000"/>
          <w:sz w:val="28"/>
          <w:szCs w:val="28"/>
        </w:rPr>
        <w:t>На 2025 год:</w:t>
      </w:r>
    </w:p>
    <w:p>
      <w:pPr>
        <w:pStyle w:val="NoSpacing"/>
        <w:jc w:val="both"/>
        <w:rPr>
          <w:color w:val="000000"/>
        </w:rPr>
      </w:pPr>
      <w:r>
        <w:rPr>
          <w:b/>
          <w:bCs/>
          <w:color w:val="000000"/>
          <w:sz w:val="28"/>
          <w:szCs w:val="28"/>
        </w:rPr>
        <w:t>-</w:t>
      </w:r>
      <w:r>
        <w:rPr>
          <w:color w:val="000000"/>
          <w:sz w:val="28"/>
          <w:szCs w:val="28"/>
        </w:rPr>
        <w:t xml:space="preserve"> общий объем доходов в сумме </w:t>
      </w:r>
      <w:r>
        <w:rPr>
          <w:bCs/>
          <w:color w:val="000000"/>
          <w:sz w:val="28"/>
          <w:szCs w:val="28"/>
        </w:rPr>
        <w:t>14 598 430,12</w:t>
      </w:r>
      <w:r>
        <w:rPr>
          <w:color w:val="000000"/>
          <w:sz w:val="28"/>
          <w:szCs w:val="28"/>
        </w:rPr>
        <w:t xml:space="preserve"> руб.;</w:t>
      </w:r>
    </w:p>
    <w:p>
      <w:pPr>
        <w:pStyle w:val="Normal"/>
        <w:jc w:val="both"/>
        <w:rPr>
          <w:color w:val="000000"/>
        </w:rPr>
      </w:pPr>
      <w:r>
        <w:rPr>
          <w:b/>
          <w:bCs/>
          <w:color w:val="000000"/>
          <w:sz w:val="28"/>
          <w:szCs w:val="28"/>
        </w:rPr>
        <w:t>-</w:t>
      </w:r>
      <w:r>
        <w:rPr>
          <w:color w:val="000000"/>
          <w:sz w:val="28"/>
          <w:szCs w:val="28"/>
        </w:rPr>
        <w:t xml:space="preserve"> общий объем  расходов</w:t>
      </w:r>
      <w:r>
        <w:rPr>
          <w:bCs/>
          <w:color w:val="000000"/>
          <w:sz w:val="28"/>
          <w:szCs w:val="28"/>
        </w:rPr>
        <w:t xml:space="preserve"> бюджета поселения</w:t>
      </w:r>
      <w:r>
        <w:rPr>
          <w:color w:val="000000"/>
          <w:sz w:val="28"/>
          <w:szCs w:val="28"/>
        </w:rPr>
        <w:t xml:space="preserve"> в сумме </w:t>
      </w:r>
      <w:r>
        <w:rPr>
          <w:bCs/>
          <w:color w:val="000000"/>
          <w:sz w:val="28"/>
          <w:szCs w:val="28"/>
        </w:rPr>
        <w:t>14 598 430,12</w:t>
      </w:r>
      <w:r>
        <w:rPr>
          <w:color w:val="000000"/>
          <w:sz w:val="28"/>
          <w:szCs w:val="28"/>
        </w:rPr>
        <w:t xml:space="preserve"> руб.; </w:t>
      </w:r>
    </w:p>
    <w:p>
      <w:pPr>
        <w:pStyle w:val="NoSpacing"/>
        <w:jc w:val="both"/>
        <w:rPr>
          <w:color w:val="000000"/>
        </w:rPr>
      </w:pPr>
      <w:r>
        <w:rPr>
          <w:b/>
          <w:bCs/>
          <w:color w:val="000000"/>
          <w:sz w:val="28"/>
          <w:szCs w:val="28"/>
        </w:rPr>
        <w:t xml:space="preserve">- </w:t>
      </w:r>
      <w:r>
        <w:rPr>
          <w:bCs/>
          <w:color w:val="000000"/>
          <w:sz w:val="28"/>
          <w:szCs w:val="28"/>
        </w:rPr>
        <w:t>дефицит (профицит) бюджета поселения в сумме 0,0 руб.</w:t>
      </w:r>
    </w:p>
    <w:p>
      <w:pPr>
        <w:pStyle w:val="NoSpacing"/>
        <w:jc w:val="both"/>
        <w:rPr>
          <w:color w:val="000000"/>
        </w:rPr>
      </w:pPr>
      <w:r>
        <w:rPr>
          <w:b/>
          <w:color w:val="000000"/>
          <w:sz w:val="28"/>
          <w:szCs w:val="28"/>
        </w:rPr>
        <w:t xml:space="preserve">     </w:t>
      </w:r>
      <w:r>
        <w:rPr>
          <w:color w:val="000000"/>
          <w:sz w:val="28"/>
          <w:szCs w:val="28"/>
        </w:rPr>
        <w:t>На 2026 год:</w:t>
      </w:r>
    </w:p>
    <w:p>
      <w:pPr>
        <w:pStyle w:val="NoSpacing"/>
        <w:jc w:val="both"/>
        <w:rPr>
          <w:color w:val="000000"/>
        </w:rPr>
      </w:pPr>
      <w:r>
        <w:rPr>
          <w:b/>
          <w:bCs/>
          <w:color w:val="000000"/>
          <w:sz w:val="28"/>
          <w:szCs w:val="28"/>
        </w:rPr>
        <w:t>-</w:t>
      </w:r>
      <w:r>
        <w:rPr>
          <w:color w:val="000000"/>
          <w:sz w:val="28"/>
          <w:szCs w:val="28"/>
        </w:rPr>
        <w:t xml:space="preserve"> общий объем доходов в сумме </w:t>
      </w:r>
      <w:r>
        <w:rPr>
          <w:bCs/>
          <w:color w:val="000000"/>
          <w:sz w:val="28"/>
          <w:szCs w:val="28"/>
        </w:rPr>
        <w:t>11 662 423,19</w:t>
      </w:r>
      <w:r>
        <w:rPr>
          <w:color w:val="000000"/>
          <w:sz w:val="28"/>
          <w:szCs w:val="28"/>
        </w:rPr>
        <w:t xml:space="preserve"> руб.;</w:t>
      </w:r>
    </w:p>
    <w:p>
      <w:pPr>
        <w:pStyle w:val="Normal"/>
        <w:jc w:val="both"/>
        <w:rPr>
          <w:color w:val="000000"/>
        </w:rPr>
      </w:pPr>
      <w:r>
        <w:rPr>
          <w:b/>
          <w:bCs/>
          <w:color w:val="000000"/>
          <w:sz w:val="28"/>
          <w:szCs w:val="28"/>
        </w:rPr>
        <w:t xml:space="preserve">- </w:t>
      </w:r>
      <w:r>
        <w:rPr>
          <w:color w:val="000000"/>
          <w:sz w:val="28"/>
          <w:szCs w:val="28"/>
        </w:rPr>
        <w:t>общий объем  расходов</w:t>
      </w:r>
      <w:r>
        <w:rPr>
          <w:bCs/>
          <w:color w:val="000000"/>
          <w:sz w:val="28"/>
          <w:szCs w:val="28"/>
        </w:rPr>
        <w:t xml:space="preserve"> бюджета поселения</w:t>
      </w:r>
      <w:r>
        <w:rPr>
          <w:color w:val="000000"/>
          <w:sz w:val="28"/>
          <w:szCs w:val="28"/>
        </w:rPr>
        <w:t xml:space="preserve"> в сумме </w:t>
      </w:r>
      <w:r>
        <w:rPr>
          <w:bCs/>
          <w:color w:val="000000"/>
          <w:sz w:val="28"/>
          <w:szCs w:val="28"/>
        </w:rPr>
        <w:t>11 662 423,19</w:t>
      </w:r>
      <w:r>
        <w:rPr>
          <w:color w:val="000000"/>
          <w:sz w:val="28"/>
          <w:szCs w:val="28"/>
        </w:rPr>
        <w:t xml:space="preserve"> руб.; </w:t>
      </w:r>
    </w:p>
    <w:p>
      <w:pPr>
        <w:pStyle w:val="NoSpacing"/>
        <w:jc w:val="both"/>
        <w:rPr>
          <w:color w:val="000000"/>
        </w:rPr>
      </w:pPr>
      <w:r>
        <w:rPr>
          <w:b/>
          <w:bCs/>
          <w:color w:val="000000"/>
          <w:sz w:val="28"/>
          <w:szCs w:val="28"/>
        </w:rPr>
        <w:t>-</w:t>
      </w:r>
      <w:r>
        <w:rPr>
          <w:bCs/>
          <w:color w:val="000000"/>
          <w:sz w:val="28"/>
          <w:szCs w:val="28"/>
        </w:rPr>
        <w:t xml:space="preserve"> дефицит (профицит) бюджета поселения в сумме 0,0 руб.</w:t>
      </w:r>
    </w:p>
    <w:p>
      <w:pPr>
        <w:pStyle w:val="NoSpacing"/>
        <w:jc w:val="both"/>
        <w:rPr>
          <w:color w:val="000000"/>
        </w:rPr>
      </w:pPr>
      <w:r>
        <w:rPr>
          <w:b/>
          <w:color w:val="000000"/>
          <w:sz w:val="28"/>
          <w:szCs w:val="28"/>
        </w:rPr>
        <w:t xml:space="preserve">     </w:t>
      </w:r>
      <w:r>
        <w:rPr>
          <w:color w:val="000000"/>
          <w:sz w:val="28"/>
          <w:szCs w:val="28"/>
        </w:rPr>
        <w:t>На 2027 год:</w:t>
      </w:r>
    </w:p>
    <w:p>
      <w:pPr>
        <w:pStyle w:val="NoSpacing"/>
        <w:jc w:val="both"/>
        <w:rPr>
          <w:color w:val="000000"/>
        </w:rPr>
      </w:pPr>
      <w:r>
        <w:rPr>
          <w:b/>
          <w:bCs/>
          <w:color w:val="000000"/>
          <w:sz w:val="28"/>
          <w:szCs w:val="28"/>
        </w:rPr>
        <w:t>-</w:t>
      </w:r>
      <w:r>
        <w:rPr>
          <w:color w:val="000000"/>
          <w:sz w:val="28"/>
          <w:szCs w:val="28"/>
        </w:rPr>
        <w:t xml:space="preserve"> общий объем доходов в сумме 10 155 063,19 руб.;</w:t>
      </w:r>
    </w:p>
    <w:p>
      <w:pPr>
        <w:pStyle w:val="Normal"/>
        <w:jc w:val="both"/>
        <w:rPr>
          <w:color w:val="000000"/>
        </w:rPr>
      </w:pPr>
      <w:r>
        <w:rPr>
          <w:b/>
          <w:bCs/>
          <w:color w:val="000000"/>
          <w:sz w:val="28"/>
          <w:szCs w:val="28"/>
        </w:rPr>
        <w:t xml:space="preserve">- </w:t>
      </w:r>
      <w:r>
        <w:rPr>
          <w:color w:val="000000"/>
          <w:sz w:val="28"/>
          <w:szCs w:val="28"/>
        </w:rPr>
        <w:t xml:space="preserve">общий объем  расходов бюджета поселения в сумме 10 155 063,19 руб.; </w:t>
      </w:r>
    </w:p>
    <w:p>
      <w:pPr>
        <w:pStyle w:val="Normal"/>
        <w:jc w:val="both"/>
        <w:rPr>
          <w:color w:val="000000"/>
        </w:rPr>
      </w:pPr>
      <w:r>
        <w:rPr>
          <w:b/>
          <w:bCs/>
          <w:color w:val="000000"/>
          <w:sz w:val="28"/>
          <w:szCs w:val="28"/>
        </w:rPr>
        <w:t xml:space="preserve">- </w:t>
      </w:r>
      <w:r>
        <w:rPr>
          <w:bCs/>
          <w:color w:val="000000"/>
          <w:sz w:val="28"/>
          <w:szCs w:val="28"/>
        </w:rPr>
        <w:t>дефицит (профицит) бюджета поселения в сумме 0,0 руб.</w:t>
      </w:r>
    </w:p>
    <w:p>
      <w:pPr>
        <w:pStyle w:val="Normal"/>
        <w:jc w:val="both"/>
        <w:rPr>
          <w:color w:val="000000"/>
        </w:rPr>
      </w:pPr>
      <w:r>
        <w:rPr>
          <w:color w:val="000000"/>
          <w:sz w:val="28"/>
          <w:szCs w:val="28"/>
        </w:rPr>
        <w:t xml:space="preserve">     </w:t>
      </w:r>
      <w:r>
        <w:rPr>
          <w:color w:val="000000"/>
          <w:sz w:val="28"/>
          <w:szCs w:val="28"/>
        </w:rPr>
        <w:t>Проект бюджета Порздневского сельского поселения сформирован без дефицита, что отражает его сбалансированность.</w:t>
      </w:r>
    </w:p>
    <w:p>
      <w:pPr>
        <w:pStyle w:val="Normal"/>
        <w:ind w:firstLine="709"/>
        <w:jc w:val="center"/>
        <w:rPr>
          <w:color w:val="000000"/>
        </w:rPr>
      </w:pPr>
      <w:r>
        <w:rPr>
          <w:b/>
          <w:color w:val="000000"/>
          <w:sz w:val="28"/>
          <w:szCs w:val="28"/>
        </w:rPr>
        <w:t>Общая характеристика доходной части бюджета.</w:t>
      </w:r>
    </w:p>
    <w:p>
      <w:pPr>
        <w:pStyle w:val="Normal"/>
        <w:jc w:val="both"/>
        <w:rPr>
          <w:color w:val="000000"/>
        </w:rPr>
      </w:pPr>
      <w:r>
        <w:rPr>
          <w:color w:val="000000"/>
          <w:sz w:val="28"/>
          <w:szCs w:val="28"/>
        </w:rPr>
        <w:t xml:space="preserve">     </w:t>
      </w:r>
      <w:r>
        <w:rPr>
          <w:color w:val="000000"/>
          <w:sz w:val="28"/>
          <w:szCs w:val="28"/>
        </w:rPr>
        <w:t xml:space="preserve">По данным проекта бюджета сельского поселения на 2025 год общий объем доходов предусмотрен в сумме </w:t>
      </w:r>
      <w:r>
        <w:rPr>
          <w:bCs/>
          <w:color w:val="000000"/>
          <w:sz w:val="28"/>
          <w:szCs w:val="28"/>
        </w:rPr>
        <w:t>14 598 430,12</w:t>
      </w:r>
      <w:r>
        <w:rPr>
          <w:color w:val="000000"/>
          <w:sz w:val="28"/>
          <w:szCs w:val="28"/>
        </w:rPr>
        <w:t xml:space="preserve"> руб.  с учетом безвозмездных поступлений от других бюджетов бюджетной системы РФ, что на 2 575 257,32 руб. или на 15,0 % меньше ожидаемой оценки 2024 г., уменьшение за счет  безвозмездных поступлений.</w:t>
      </w:r>
    </w:p>
    <w:p>
      <w:pPr>
        <w:pStyle w:val="Normal"/>
        <w:jc w:val="both"/>
        <w:rPr>
          <w:color w:val="000000"/>
        </w:rPr>
      </w:pPr>
      <w:r>
        <w:rPr>
          <w:color w:val="000000"/>
          <w:sz w:val="28"/>
          <w:szCs w:val="28"/>
        </w:rPr>
        <w:t xml:space="preserve">       </w:t>
      </w:r>
      <w:r>
        <w:rPr>
          <w:color w:val="000000"/>
          <w:sz w:val="28"/>
          <w:szCs w:val="28"/>
        </w:rPr>
        <w:t>На плановый период 2026 года проектом предусмотрены доходы в сумме 11 662 423,19 руб. или уменьшение к уровню 2025 года на 2 936 006,93 руб. или на 20,0%. На плановый период 2027 года проектом бюджета предусмотрены доходы в сумме 10 155 063,19 руб. или снижение к уровню 2026 г. на 1 507 360,00 руб. (12,9%).</w:t>
      </w:r>
    </w:p>
    <w:p>
      <w:pPr>
        <w:pStyle w:val="Normal"/>
        <w:jc w:val="both"/>
        <w:rPr>
          <w:color w:val="000000"/>
        </w:rPr>
      </w:pPr>
      <w:r>
        <w:rPr>
          <w:color w:val="000000"/>
          <w:sz w:val="28"/>
          <w:szCs w:val="28"/>
        </w:rPr>
        <w:t xml:space="preserve">     </w:t>
      </w:r>
      <w:r>
        <w:rPr>
          <w:color w:val="000000"/>
          <w:sz w:val="28"/>
          <w:szCs w:val="28"/>
        </w:rPr>
        <w:t>Поступление собственных доходов бюджета (ст. 47 БК РФ) на 2025 год прогнозируется в сумме 333 120,26 руб</w:t>
      </w:r>
      <w:r>
        <w:rPr>
          <w:i/>
          <w:color w:val="000000"/>
          <w:sz w:val="28"/>
          <w:szCs w:val="28"/>
        </w:rPr>
        <w:t xml:space="preserve">., </w:t>
      </w:r>
      <w:r>
        <w:rPr>
          <w:color w:val="000000"/>
          <w:sz w:val="28"/>
          <w:szCs w:val="28"/>
        </w:rPr>
        <w:t>что ниже ожидаемых поступлений 2024г. на 31 350,46 руб. (8,6%).</w:t>
      </w:r>
    </w:p>
    <w:p>
      <w:pPr>
        <w:pStyle w:val="Normal"/>
        <w:jc w:val="both"/>
        <w:rPr>
          <w:color w:val="000000"/>
        </w:rPr>
      </w:pPr>
      <w:r>
        <w:rPr>
          <w:color w:val="000000"/>
          <w:sz w:val="28"/>
          <w:szCs w:val="28"/>
        </w:rPr>
        <w:t xml:space="preserve">     </w:t>
      </w:r>
      <w:r>
        <w:rPr>
          <w:color w:val="000000"/>
          <w:sz w:val="28"/>
          <w:szCs w:val="28"/>
        </w:rPr>
        <w:t>В плановом периоде 2025-2026гг. налоговые и неналоговые доходы бюджета поселения спрогнозированы в сумме 288 600,00 руб. ежегодно.</w:t>
      </w:r>
    </w:p>
    <w:p>
      <w:pPr>
        <w:pStyle w:val="Normal"/>
        <w:jc w:val="both"/>
        <w:rPr>
          <w:color w:val="000000"/>
        </w:rPr>
      </w:pPr>
      <w:r>
        <w:rPr>
          <w:color w:val="000000"/>
          <w:sz w:val="28"/>
          <w:szCs w:val="28"/>
        </w:rPr>
        <w:t xml:space="preserve">     </w:t>
      </w:r>
      <w:r>
        <w:rPr>
          <w:color w:val="000000"/>
          <w:sz w:val="28"/>
          <w:szCs w:val="28"/>
        </w:rPr>
        <w:t>Безвозмездные поступления из бюджетов разных уровней на 2025 год заложены в проекте бюджета в сумме 14 265 309,86 руб., или на 2 543 906,86 руб. (15,1%) меньше ожидаемой оценки 2024г. На плановый период 2026 года планируются безвозмездные поступления в сумме 11 373 823,19 руб. или уменьшение к уровню 2025 года на 2 891 486,67 руб. или на 20,3%, на 2027 год – 9 866 463,19 руб., или снижение к уровню 2026 г. на 1 507 360,00 руб. (13,3%).</w:t>
      </w:r>
    </w:p>
    <w:p>
      <w:pPr>
        <w:pStyle w:val="Normal"/>
        <w:jc w:val="both"/>
        <w:rPr>
          <w:color w:val="000000"/>
        </w:rPr>
      </w:pPr>
      <w:r>
        <w:rPr>
          <w:color w:val="000000"/>
          <w:sz w:val="28"/>
          <w:szCs w:val="28"/>
        </w:rPr>
        <w:t xml:space="preserve">     </w:t>
      </w:r>
      <w:r>
        <w:rPr>
          <w:color w:val="000000"/>
          <w:sz w:val="28"/>
          <w:szCs w:val="28"/>
        </w:rPr>
        <w:t>Размер дотаций бюджетной системы РФ  определен на 2025 год в сумме 12 756 782,86 руб., на плановый период 2026 и 2027 г.г. - 9 850 216,19 руб., 8 336 616,19 руб. соответственно.</w:t>
      </w:r>
    </w:p>
    <w:p>
      <w:pPr>
        <w:pStyle w:val="Normal"/>
        <w:jc w:val="both"/>
        <w:rPr>
          <w:color w:val="000000"/>
        </w:rPr>
      </w:pPr>
      <w:r>
        <w:rPr>
          <w:color w:val="000000"/>
          <w:sz w:val="28"/>
          <w:szCs w:val="28"/>
        </w:rPr>
        <w:t xml:space="preserve">     </w:t>
      </w:r>
      <w:r>
        <w:rPr>
          <w:color w:val="000000"/>
          <w:sz w:val="28"/>
          <w:szCs w:val="28"/>
        </w:rPr>
        <w:t>Анализируя проект бюджета Порздневского сельского поселения на 2025г. и плановый период 2026-2027гг. можно сделать вывод, можно сделать вывод, что бюджет поселения является высоко дотационным.</w:t>
      </w:r>
    </w:p>
    <w:p>
      <w:pPr>
        <w:pStyle w:val="Normal"/>
        <w:jc w:val="both"/>
        <w:rPr>
          <w:color w:val="000000"/>
        </w:rPr>
      </w:pPr>
      <w:r>
        <w:rPr>
          <w:color w:val="000000"/>
          <w:sz w:val="28"/>
          <w:szCs w:val="28"/>
        </w:rPr>
        <w:t>Динамика всех уровней доходов местного бюджета представлена в следующей таблице:</w:t>
      </w:r>
    </w:p>
    <w:p>
      <w:pPr>
        <w:pStyle w:val="Normal"/>
        <w:jc w:val="both"/>
        <w:rPr>
          <w:color w:val="000000"/>
        </w:rPr>
      </w:pPr>
      <w:r>
        <w:rPr>
          <w:color w:val="000000"/>
        </w:rPr>
      </w:r>
    </w:p>
    <w:p>
      <w:pPr>
        <w:pStyle w:val="Normal"/>
        <w:ind w:firstLine="708"/>
        <w:jc w:val="right"/>
        <w:rPr>
          <w:color w:val="000000"/>
        </w:rPr>
      </w:pPr>
      <w:r>
        <w:rPr>
          <w:color w:val="000000"/>
          <w:sz w:val="18"/>
          <w:szCs w:val="18"/>
        </w:rPr>
        <w:t xml:space="preserve">(тыс. руб.)                    </w:t>
      </w:r>
    </w:p>
    <w:tbl>
      <w:tblPr>
        <w:tblStyle w:val="af4"/>
        <w:tblW w:w="10320" w:type="dxa"/>
        <w:jc w:val="left"/>
        <w:tblInd w:w="-176" w:type="dxa"/>
        <w:tblLayout w:type="fixed"/>
        <w:tblCellMar>
          <w:top w:w="0" w:type="dxa"/>
          <w:left w:w="108" w:type="dxa"/>
          <w:bottom w:w="0" w:type="dxa"/>
          <w:right w:w="108" w:type="dxa"/>
        </w:tblCellMar>
        <w:tblLook w:firstRow="1" w:noVBand="0" w:lastRow="1" w:firstColumn="1" w:lastColumn="1" w:noHBand="0" w:val="01e0"/>
      </w:tblPr>
      <w:tblGrid>
        <w:gridCol w:w="1560"/>
        <w:gridCol w:w="992"/>
        <w:gridCol w:w="991"/>
        <w:gridCol w:w="947"/>
        <w:gridCol w:w="908"/>
        <w:gridCol w:w="847"/>
        <w:gridCol w:w="856"/>
        <w:gridCol w:w="990"/>
        <w:gridCol w:w="854"/>
        <w:gridCol w:w="726"/>
        <w:gridCol w:w="647"/>
      </w:tblGrid>
      <w:tr>
        <w:trPr>
          <w:trHeight w:val="780" w:hRule="atLeast"/>
        </w:trPr>
        <w:tc>
          <w:tcPr>
            <w:tcW w:w="1560" w:type="dxa"/>
            <w:vMerge w:val="restart"/>
            <w:tcBorders/>
          </w:tcPr>
          <w:p>
            <w:pPr>
              <w:pStyle w:val="Normal"/>
              <w:widowControl w:val="false"/>
              <w:suppressAutoHyphens w:val="true"/>
              <w:spacing w:before="0" w:after="0"/>
              <w:jc w:val="left"/>
              <w:rPr>
                <w:color w:val="000000"/>
              </w:rPr>
            </w:pPr>
            <w:r>
              <w:rPr>
                <w:color w:val="000000"/>
                <w:kern w:val="0"/>
                <w:sz w:val="20"/>
                <w:szCs w:val="20"/>
                <w:lang w:val="ru-RU" w:bidi="ar-SA"/>
              </w:rPr>
              <w:t>Наименование</w:t>
            </w:r>
          </w:p>
        </w:tc>
        <w:tc>
          <w:tcPr>
            <w:tcW w:w="992" w:type="dxa"/>
            <w:vMerge w:val="restart"/>
            <w:tcBorders/>
          </w:tcPr>
          <w:p>
            <w:pPr>
              <w:pStyle w:val="Normal"/>
              <w:widowControl w:val="false"/>
              <w:suppressAutoHyphens w:val="true"/>
              <w:spacing w:before="0" w:after="0"/>
              <w:jc w:val="center"/>
              <w:rPr>
                <w:color w:val="000000"/>
              </w:rPr>
            </w:pPr>
            <w:r>
              <w:rPr>
                <w:color w:val="000000"/>
                <w:kern w:val="0"/>
                <w:sz w:val="20"/>
                <w:szCs w:val="20"/>
                <w:lang w:val="ru-RU" w:bidi="ar-SA"/>
              </w:rPr>
              <w:t>Ожидаемые показатели 2024г.</w:t>
            </w:r>
          </w:p>
        </w:tc>
        <w:tc>
          <w:tcPr>
            <w:tcW w:w="2846" w:type="dxa"/>
            <w:gridSpan w:val="3"/>
            <w:tcBorders/>
          </w:tcPr>
          <w:p>
            <w:pPr>
              <w:pStyle w:val="Normal"/>
              <w:widowControl w:val="false"/>
              <w:suppressAutoHyphens w:val="true"/>
              <w:spacing w:before="0" w:after="0"/>
              <w:jc w:val="center"/>
              <w:rPr>
                <w:color w:val="000000"/>
              </w:rPr>
            </w:pPr>
            <w:r>
              <w:rPr>
                <w:color w:val="000000"/>
                <w:kern w:val="0"/>
                <w:sz w:val="20"/>
                <w:szCs w:val="20"/>
                <w:lang w:val="ru-RU" w:bidi="ar-SA"/>
              </w:rPr>
              <w:t>Проект  решения на                                                     2025г. и плановый период 2026-2027гг.</w:t>
            </w:r>
          </w:p>
        </w:tc>
        <w:tc>
          <w:tcPr>
            <w:tcW w:w="2693" w:type="dxa"/>
            <w:gridSpan w:val="3"/>
            <w:tcBorders/>
          </w:tcPr>
          <w:p>
            <w:pPr>
              <w:pStyle w:val="Normal"/>
              <w:widowControl w:val="false"/>
              <w:suppressAutoHyphens w:val="true"/>
              <w:spacing w:before="0" w:after="0"/>
              <w:jc w:val="left"/>
              <w:rPr>
                <w:color w:val="000000"/>
              </w:rPr>
            </w:pPr>
            <w:r>
              <w:rPr>
                <w:color w:val="000000"/>
                <w:kern w:val="0"/>
                <w:sz w:val="20"/>
                <w:szCs w:val="20"/>
                <w:lang w:val="ru-RU" w:bidi="ar-SA"/>
              </w:rPr>
              <w:t>Абсолютное отклонение</w:t>
            </w:r>
          </w:p>
        </w:tc>
        <w:tc>
          <w:tcPr>
            <w:tcW w:w="2227" w:type="dxa"/>
            <w:gridSpan w:val="3"/>
            <w:tcBorders/>
          </w:tcPr>
          <w:p>
            <w:pPr>
              <w:pStyle w:val="Normal"/>
              <w:widowControl w:val="false"/>
              <w:suppressAutoHyphens w:val="true"/>
              <w:spacing w:before="0" w:after="0"/>
              <w:jc w:val="left"/>
              <w:rPr>
                <w:color w:val="000000"/>
              </w:rPr>
            </w:pPr>
            <w:r>
              <w:rPr>
                <w:color w:val="000000"/>
                <w:kern w:val="0"/>
                <w:sz w:val="20"/>
                <w:szCs w:val="20"/>
                <w:lang w:val="ru-RU" w:bidi="ar-SA"/>
              </w:rPr>
              <w:t>%  отклонения</w:t>
            </w:r>
          </w:p>
        </w:tc>
      </w:tr>
      <w:tr>
        <w:trPr>
          <w:trHeight w:val="309" w:hRule="atLeast"/>
        </w:trPr>
        <w:tc>
          <w:tcPr>
            <w:tcW w:w="1560" w:type="dxa"/>
            <w:vMerge w:val="continue"/>
            <w:tcBorders/>
          </w:tcPr>
          <w:p>
            <w:pPr>
              <w:pStyle w:val="Normal"/>
              <w:widowControl w:val="false"/>
              <w:suppressAutoHyphens w:val="true"/>
              <w:spacing w:before="0" w:after="0"/>
              <w:jc w:val="left"/>
              <w:rPr>
                <w:color w:val="000000"/>
                <w:sz w:val="20"/>
                <w:szCs w:val="20"/>
              </w:rPr>
            </w:pPr>
            <w:r>
              <w:rPr>
                <w:color w:val="000000"/>
                <w:sz w:val="20"/>
                <w:szCs w:val="20"/>
              </w:rPr>
            </w:r>
          </w:p>
        </w:tc>
        <w:tc>
          <w:tcPr>
            <w:tcW w:w="992" w:type="dxa"/>
            <w:vMerge w:val="continue"/>
            <w:tcBorders/>
          </w:tcPr>
          <w:p>
            <w:pPr>
              <w:pStyle w:val="Normal"/>
              <w:widowControl w:val="false"/>
              <w:suppressAutoHyphens w:val="true"/>
              <w:spacing w:before="0" w:after="0"/>
              <w:jc w:val="center"/>
              <w:rPr>
                <w:color w:val="000000"/>
                <w:sz w:val="20"/>
                <w:szCs w:val="20"/>
              </w:rPr>
            </w:pPr>
            <w:r>
              <w:rPr>
                <w:color w:val="000000"/>
                <w:sz w:val="20"/>
                <w:szCs w:val="20"/>
              </w:rPr>
            </w:r>
          </w:p>
        </w:tc>
        <w:tc>
          <w:tcPr>
            <w:tcW w:w="991" w:type="dxa"/>
            <w:tcBorders/>
          </w:tcPr>
          <w:p>
            <w:pPr>
              <w:pStyle w:val="Normal"/>
              <w:widowControl w:val="false"/>
              <w:suppressAutoHyphens w:val="true"/>
              <w:spacing w:before="0" w:after="0"/>
              <w:jc w:val="center"/>
              <w:rPr>
                <w:color w:val="000000"/>
              </w:rPr>
            </w:pPr>
            <w:r>
              <w:rPr>
                <w:color w:val="000000"/>
                <w:kern w:val="0"/>
                <w:sz w:val="20"/>
                <w:szCs w:val="20"/>
                <w:lang w:val="ru-RU" w:bidi="ar-SA"/>
              </w:rPr>
              <w:t>2025</w:t>
            </w:r>
          </w:p>
        </w:tc>
        <w:tc>
          <w:tcPr>
            <w:tcW w:w="947" w:type="dxa"/>
            <w:tcBorders/>
          </w:tcPr>
          <w:p>
            <w:pPr>
              <w:pStyle w:val="Normal"/>
              <w:widowControl w:val="false"/>
              <w:suppressAutoHyphens w:val="true"/>
              <w:spacing w:before="0" w:after="0"/>
              <w:jc w:val="center"/>
              <w:rPr>
                <w:color w:val="000000"/>
              </w:rPr>
            </w:pPr>
            <w:r>
              <w:rPr>
                <w:color w:val="000000"/>
                <w:kern w:val="0"/>
                <w:sz w:val="20"/>
                <w:szCs w:val="20"/>
                <w:lang w:val="ru-RU" w:bidi="ar-SA"/>
              </w:rPr>
              <w:t>2026</w:t>
            </w:r>
          </w:p>
          <w:p>
            <w:pPr>
              <w:pStyle w:val="Normal"/>
              <w:widowControl w:val="false"/>
              <w:suppressAutoHyphens w:val="true"/>
              <w:spacing w:before="0" w:after="0"/>
              <w:jc w:val="center"/>
              <w:rPr>
                <w:color w:val="000000"/>
                <w:sz w:val="20"/>
                <w:szCs w:val="20"/>
              </w:rPr>
            </w:pPr>
            <w:r>
              <w:rPr>
                <w:color w:val="000000"/>
                <w:sz w:val="20"/>
                <w:szCs w:val="20"/>
              </w:rPr>
            </w:r>
          </w:p>
        </w:tc>
        <w:tc>
          <w:tcPr>
            <w:tcW w:w="908" w:type="dxa"/>
            <w:tcBorders/>
          </w:tcPr>
          <w:p>
            <w:pPr>
              <w:pStyle w:val="Normal"/>
              <w:widowControl w:val="false"/>
              <w:suppressAutoHyphens w:val="true"/>
              <w:spacing w:before="0" w:after="200"/>
              <w:jc w:val="center"/>
              <w:rPr>
                <w:color w:val="000000"/>
              </w:rPr>
            </w:pPr>
            <w:r>
              <w:rPr>
                <w:color w:val="000000"/>
                <w:kern w:val="0"/>
                <w:sz w:val="20"/>
                <w:szCs w:val="20"/>
                <w:lang w:val="ru-RU" w:bidi="ar-SA"/>
              </w:rPr>
              <w:t>2027</w:t>
            </w:r>
          </w:p>
          <w:p>
            <w:pPr>
              <w:pStyle w:val="Normal"/>
              <w:widowControl w:val="false"/>
              <w:suppressAutoHyphens w:val="true"/>
              <w:spacing w:before="0" w:after="0"/>
              <w:jc w:val="center"/>
              <w:rPr>
                <w:color w:val="000000"/>
                <w:sz w:val="20"/>
                <w:szCs w:val="20"/>
              </w:rPr>
            </w:pPr>
            <w:r>
              <w:rPr>
                <w:color w:val="000000"/>
                <w:sz w:val="20"/>
                <w:szCs w:val="20"/>
              </w:rPr>
            </w:r>
          </w:p>
        </w:tc>
        <w:tc>
          <w:tcPr>
            <w:tcW w:w="847" w:type="dxa"/>
            <w:tcBorders/>
          </w:tcPr>
          <w:p>
            <w:pPr>
              <w:pStyle w:val="Normal"/>
              <w:widowControl w:val="false"/>
              <w:suppressAutoHyphens w:val="true"/>
              <w:spacing w:before="0" w:after="0"/>
              <w:jc w:val="center"/>
              <w:rPr>
                <w:color w:val="000000"/>
              </w:rPr>
            </w:pPr>
            <w:r>
              <w:rPr>
                <w:color w:val="000000"/>
                <w:kern w:val="0"/>
                <w:sz w:val="20"/>
                <w:szCs w:val="20"/>
                <w:lang w:val="ru-RU" w:bidi="ar-SA"/>
              </w:rPr>
              <w:t>2025</w:t>
            </w:r>
          </w:p>
        </w:tc>
        <w:tc>
          <w:tcPr>
            <w:tcW w:w="856" w:type="dxa"/>
            <w:tcBorders/>
          </w:tcPr>
          <w:p>
            <w:pPr>
              <w:pStyle w:val="Normal"/>
              <w:widowControl w:val="false"/>
              <w:suppressAutoHyphens w:val="true"/>
              <w:spacing w:before="0" w:after="0"/>
              <w:jc w:val="center"/>
              <w:rPr>
                <w:color w:val="000000"/>
              </w:rPr>
            </w:pPr>
            <w:r>
              <w:rPr>
                <w:color w:val="000000"/>
                <w:kern w:val="0"/>
                <w:sz w:val="20"/>
                <w:szCs w:val="20"/>
                <w:lang w:val="ru-RU" w:bidi="ar-SA"/>
              </w:rPr>
              <w:t>2026</w:t>
            </w:r>
          </w:p>
        </w:tc>
        <w:tc>
          <w:tcPr>
            <w:tcW w:w="990" w:type="dxa"/>
            <w:tcBorders/>
          </w:tcPr>
          <w:p>
            <w:pPr>
              <w:pStyle w:val="Normal"/>
              <w:widowControl w:val="false"/>
              <w:suppressAutoHyphens w:val="true"/>
              <w:spacing w:before="0" w:after="0"/>
              <w:jc w:val="center"/>
              <w:rPr>
                <w:color w:val="000000"/>
              </w:rPr>
            </w:pPr>
            <w:r>
              <w:rPr>
                <w:color w:val="000000"/>
                <w:kern w:val="0"/>
                <w:sz w:val="20"/>
                <w:szCs w:val="20"/>
                <w:lang w:val="ru-RU" w:bidi="ar-SA"/>
              </w:rPr>
              <w:t>2027</w:t>
            </w:r>
          </w:p>
        </w:tc>
        <w:tc>
          <w:tcPr>
            <w:tcW w:w="854" w:type="dxa"/>
            <w:tcBorders/>
          </w:tcPr>
          <w:p>
            <w:pPr>
              <w:pStyle w:val="Normal"/>
              <w:widowControl w:val="false"/>
              <w:suppressAutoHyphens w:val="true"/>
              <w:spacing w:before="0" w:after="0"/>
              <w:jc w:val="center"/>
              <w:rPr>
                <w:color w:val="000000"/>
              </w:rPr>
            </w:pPr>
            <w:r>
              <w:rPr>
                <w:color w:val="000000"/>
                <w:kern w:val="0"/>
                <w:sz w:val="20"/>
                <w:szCs w:val="20"/>
                <w:lang w:val="ru-RU" w:bidi="ar-SA"/>
              </w:rPr>
              <w:t>2025</w:t>
            </w:r>
          </w:p>
        </w:tc>
        <w:tc>
          <w:tcPr>
            <w:tcW w:w="726" w:type="dxa"/>
            <w:tcBorders/>
          </w:tcPr>
          <w:p>
            <w:pPr>
              <w:pStyle w:val="Normal"/>
              <w:widowControl w:val="false"/>
              <w:suppressAutoHyphens w:val="true"/>
              <w:spacing w:before="0" w:after="0"/>
              <w:jc w:val="center"/>
              <w:rPr>
                <w:color w:val="000000"/>
              </w:rPr>
            </w:pPr>
            <w:r>
              <w:rPr>
                <w:color w:val="000000"/>
                <w:kern w:val="0"/>
                <w:sz w:val="20"/>
                <w:szCs w:val="20"/>
                <w:lang w:val="ru-RU" w:bidi="ar-SA"/>
              </w:rPr>
              <w:t>2026</w:t>
            </w:r>
          </w:p>
        </w:tc>
        <w:tc>
          <w:tcPr>
            <w:tcW w:w="647" w:type="dxa"/>
            <w:tcBorders/>
          </w:tcPr>
          <w:p>
            <w:pPr>
              <w:pStyle w:val="Normal"/>
              <w:widowControl w:val="false"/>
              <w:suppressAutoHyphens w:val="true"/>
              <w:spacing w:before="0" w:after="0"/>
              <w:jc w:val="center"/>
              <w:rPr>
                <w:color w:val="000000"/>
              </w:rPr>
            </w:pPr>
            <w:r>
              <w:rPr>
                <w:color w:val="000000"/>
                <w:kern w:val="0"/>
                <w:sz w:val="20"/>
                <w:szCs w:val="20"/>
                <w:lang w:val="ru-RU" w:bidi="ar-SA"/>
              </w:rPr>
              <w:t>2027</w:t>
            </w:r>
          </w:p>
        </w:tc>
      </w:tr>
      <w:tr>
        <w:trPr/>
        <w:tc>
          <w:tcPr>
            <w:tcW w:w="1560" w:type="dxa"/>
            <w:tcBorders/>
          </w:tcPr>
          <w:p>
            <w:pPr>
              <w:pStyle w:val="Normal"/>
              <w:widowControl w:val="false"/>
              <w:suppressAutoHyphens w:val="true"/>
              <w:spacing w:before="0" w:after="0"/>
              <w:jc w:val="center"/>
              <w:rPr>
                <w:color w:val="000000"/>
              </w:rPr>
            </w:pPr>
            <w:r>
              <w:rPr>
                <w:color w:val="000000"/>
                <w:kern w:val="0"/>
                <w:sz w:val="20"/>
                <w:szCs w:val="20"/>
                <w:lang w:val="ru-RU" w:bidi="ar-SA"/>
              </w:rPr>
              <w:t>Собственные доходы, всего, в т.ч.</w:t>
            </w:r>
          </w:p>
        </w:tc>
        <w:tc>
          <w:tcPr>
            <w:tcW w:w="992" w:type="dxa"/>
            <w:tcBorders/>
          </w:tcPr>
          <w:p>
            <w:pPr>
              <w:pStyle w:val="Normal"/>
              <w:widowControl w:val="false"/>
              <w:suppressAutoHyphens w:val="true"/>
              <w:spacing w:before="0" w:after="0"/>
              <w:jc w:val="center"/>
              <w:rPr>
                <w:color w:val="000000"/>
              </w:rPr>
            </w:pPr>
            <w:r>
              <w:rPr>
                <w:color w:val="000000"/>
                <w:kern w:val="0"/>
                <w:sz w:val="20"/>
                <w:szCs w:val="20"/>
                <w:lang w:val="ru-RU" w:bidi="ar-SA"/>
              </w:rPr>
              <w:t>364,5</w:t>
            </w:r>
          </w:p>
        </w:tc>
        <w:tc>
          <w:tcPr>
            <w:tcW w:w="991" w:type="dxa"/>
            <w:tcBorders/>
          </w:tcPr>
          <w:p>
            <w:pPr>
              <w:pStyle w:val="Normal"/>
              <w:widowControl w:val="false"/>
              <w:suppressAutoHyphens w:val="true"/>
              <w:spacing w:before="0" w:after="0"/>
              <w:jc w:val="center"/>
              <w:rPr>
                <w:color w:val="000000"/>
              </w:rPr>
            </w:pPr>
            <w:r>
              <w:rPr>
                <w:color w:val="000000"/>
                <w:kern w:val="0"/>
                <w:sz w:val="20"/>
                <w:szCs w:val="20"/>
                <w:lang w:val="ru-RU" w:bidi="ar-SA"/>
              </w:rPr>
              <w:t>333,1</w:t>
            </w:r>
          </w:p>
        </w:tc>
        <w:tc>
          <w:tcPr>
            <w:tcW w:w="947" w:type="dxa"/>
            <w:tcBorders/>
          </w:tcPr>
          <w:p>
            <w:pPr>
              <w:pStyle w:val="Normal"/>
              <w:widowControl w:val="false"/>
              <w:suppressAutoHyphens w:val="true"/>
              <w:spacing w:before="0" w:after="0"/>
              <w:jc w:val="center"/>
              <w:rPr>
                <w:color w:val="000000"/>
              </w:rPr>
            </w:pPr>
            <w:r>
              <w:rPr>
                <w:color w:val="000000"/>
                <w:kern w:val="0"/>
                <w:sz w:val="20"/>
                <w:szCs w:val="20"/>
                <w:lang w:val="ru-RU" w:bidi="ar-SA"/>
              </w:rPr>
              <w:t>288,6</w:t>
            </w:r>
          </w:p>
        </w:tc>
        <w:tc>
          <w:tcPr>
            <w:tcW w:w="908" w:type="dxa"/>
            <w:tcBorders/>
          </w:tcPr>
          <w:p>
            <w:pPr>
              <w:pStyle w:val="Normal"/>
              <w:widowControl w:val="false"/>
              <w:suppressAutoHyphens w:val="true"/>
              <w:spacing w:before="0" w:after="0"/>
              <w:jc w:val="center"/>
              <w:rPr>
                <w:color w:val="000000"/>
              </w:rPr>
            </w:pPr>
            <w:r>
              <w:rPr>
                <w:color w:val="000000"/>
                <w:kern w:val="0"/>
                <w:sz w:val="20"/>
                <w:szCs w:val="20"/>
                <w:lang w:val="ru-RU" w:bidi="ar-SA"/>
              </w:rPr>
              <w:t>288,6</w:t>
            </w:r>
          </w:p>
        </w:tc>
        <w:tc>
          <w:tcPr>
            <w:tcW w:w="847" w:type="dxa"/>
            <w:tcBorders/>
          </w:tcPr>
          <w:p>
            <w:pPr>
              <w:pStyle w:val="Normal"/>
              <w:widowControl w:val="false"/>
              <w:suppressAutoHyphens w:val="true"/>
              <w:spacing w:before="0" w:after="0"/>
              <w:jc w:val="center"/>
              <w:rPr>
                <w:color w:val="000000"/>
              </w:rPr>
            </w:pPr>
            <w:r>
              <w:rPr>
                <w:color w:val="000000"/>
                <w:kern w:val="0"/>
                <w:sz w:val="20"/>
                <w:szCs w:val="20"/>
                <w:lang w:val="ru-RU" w:bidi="ar-SA"/>
              </w:rPr>
              <w:t>-31,4</w:t>
            </w:r>
          </w:p>
        </w:tc>
        <w:tc>
          <w:tcPr>
            <w:tcW w:w="856" w:type="dxa"/>
            <w:tcBorders/>
          </w:tcPr>
          <w:p>
            <w:pPr>
              <w:pStyle w:val="Normal"/>
              <w:widowControl w:val="false"/>
              <w:suppressAutoHyphens w:val="true"/>
              <w:spacing w:before="0" w:after="0"/>
              <w:jc w:val="center"/>
              <w:rPr>
                <w:color w:val="000000"/>
              </w:rPr>
            </w:pPr>
            <w:r>
              <w:rPr>
                <w:color w:val="000000"/>
                <w:kern w:val="0"/>
                <w:sz w:val="20"/>
                <w:szCs w:val="20"/>
                <w:lang w:val="en-US" w:bidi="ar-SA"/>
              </w:rPr>
              <w:t>-</w:t>
            </w:r>
            <w:r>
              <w:rPr>
                <w:color w:val="000000"/>
                <w:kern w:val="0"/>
                <w:sz w:val="20"/>
                <w:szCs w:val="20"/>
                <w:lang w:val="ru-RU" w:bidi="ar-SA"/>
              </w:rPr>
              <w:t>44,5</w:t>
            </w:r>
          </w:p>
        </w:tc>
        <w:tc>
          <w:tcPr>
            <w:tcW w:w="990" w:type="dxa"/>
            <w:tcBorders/>
          </w:tcPr>
          <w:p>
            <w:pPr>
              <w:pStyle w:val="Normal"/>
              <w:widowControl w:val="false"/>
              <w:suppressAutoHyphens w:val="true"/>
              <w:spacing w:before="0" w:after="0"/>
              <w:jc w:val="center"/>
              <w:rPr>
                <w:color w:val="000000"/>
              </w:rPr>
            </w:pPr>
            <w:r>
              <w:rPr>
                <w:color w:val="000000"/>
                <w:kern w:val="0"/>
                <w:sz w:val="20"/>
                <w:szCs w:val="20"/>
                <w:lang w:val="en-US" w:bidi="ar-SA"/>
              </w:rPr>
              <w:t>0,0</w:t>
            </w:r>
          </w:p>
        </w:tc>
        <w:tc>
          <w:tcPr>
            <w:tcW w:w="854" w:type="dxa"/>
            <w:tcBorders/>
          </w:tcPr>
          <w:p>
            <w:pPr>
              <w:pStyle w:val="Normal"/>
              <w:widowControl w:val="false"/>
              <w:suppressAutoHyphens w:val="true"/>
              <w:spacing w:before="0" w:after="0"/>
              <w:jc w:val="center"/>
              <w:rPr>
                <w:color w:val="000000"/>
              </w:rPr>
            </w:pPr>
            <w:r>
              <w:rPr>
                <w:color w:val="000000"/>
                <w:kern w:val="0"/>
                <w:sz w:val="20"/>
                <w:szCs w:val="20"/>
                <w:lang w:val="ru-RU" w:bidi="ar-SA"/>
              </w:rPr>
              <w:t>-8,6</w:t>
            </w:r>
          </w:p>
        </w:tc>
        <w:tc>
          <w:tcPr>
            <w:tcW w:w="726" w:type="dxa"/>
            <w:tcBorders/>
          </w:tcPr>
          <w:p>
            <w:pPr>
              <w:pStyle w:val="Normal"/>
              <w:widowControl w:val="false"/>
              <w:suppressAutoHyphens w:val="true"/>
              <w:spacing w:before="0" w:after="0"/>
              <w:jc w:val="center"/>
              <w:rPr>
                <w:color w:val="000000"/>
              </w:rPr>
            </w:pPr>
            <w:r>
              <w:rPr>
                <w:color w:val="000000"/>
                <w:kern w:val="0"/>
                <w:sz w:val="20"/>
                <w:szCs w:val="20"/>
                <w:lang w:val="en-US" w:bidi="ar-SA"/>
              </w:rPr>
              <w:t>-</w:t>
            </w:r>
            <w:r>
              <w:rPr>
                <w:color w:val="000000"/>
                <w:kern w:val="0"/>
                <w:sz w:val="20"/>
                <w:szCs w:val="20"/>
                <w:lang w:val="ru-RU" w:bidi="ar-SA"/>
              </w:rPr>
              <w:t>13,4</w:t>
            </w:r>
          </w:p>
        </w:tc>
        <w:tc>
          <w:tcPr>
            <w:tcW w:w="647" w:type="dxa"/>
            <w:tcBorders/>
          </w:tcPr>
          <w:p>
            <w:pPr>
              <w:pStyle w:val="Normal"/>
              <w:widowControl w:val="false"/>
              <w:suppressAutoHyphens w:val="true"/>
              <w:spacing w:before="0" w:after="0"/>
              <w:jc w:val="center"/>
              <w:rPr>
                <w:color w:val="000000"/>
              </w:rPr>
            </w:pPr>
            <w:r>
              <w:rPr>
                <w:color w:val="000000"/>
                <w:kern w:val="0"/>
                <w:sz w:val="20"/>
                <w:szCs w:val="20"/>
                <w:lang w:val="en-US" w:bidi="ar-SA"/>
              </w:rPr>
              <w:t>-</w:t>
            </w:r>
          </w:p>
        </w:tc>
      </w:tr>
      <w:tr>
        <w:trPr>
          <w:trHeight w:val="225" w:hRule="atLeast"/>
        </w:trPr>
        <w:tc>
          <w:tcPr>
            <w:tcW w:w="1560" w:type="dxa"/>
            <w:tcBorders/>
          </w:tcPr>
          <w:p>
            <w:pPr>
              <w:pStyle w:val="Normal"/>
              <w:widowControl w:val="false"/>
              <w:suppressAutoHyphens w:val="true"/>
              <w:spacing w:before="0" w:after="0"/>
              <w:jc w:val="center"/>
              <w:rPr>
                <w:color w:val="000000"/>
              </w:rPr>
            </w:pPr>
            <w:r>
              <w:rPr>
                <w:color w:val="000000"/>
                <w:kern w:val="0"/>
                <w:sz w:val="20"/>
                <w:szCs w:val="20"/>
                <w:lang w:val="ru-RU" w:bidi="ar-SA"/>
              </w:rPr>
              <w:t>-налоговые</w:t>
            </w:r>
          </w:p>
        </w:tc>
        <w:tc>
          <w:tcPr>
            <w:tcW w:w="992" w:type="dxa"/>
            <w:tcBorders/>
          </w:tcPr>
          <w:p>
            <w:pPr>
              <w:pStyle w:val="Normal"/>
              <w:widowControl w:val="false"/>
              <w:suppressAutoHyphens w:val="true"/>
              <w:spacing w:before="0" w:after="0"/>
              <w:jc w:val="center"/>
              <w:rPr>
                <w:color w:val="000000"/>
              </w:rPr>
            </w:pPr>
            <w:r>
              <w:rPr>
                <w:color w:val="000000"/>
                <w:kern w:val="0"/>
                <w:sz w:val="20"/>
                <w:szCs w:val="20"/>
                <w:lang w:val="ru-RU" w:bidi="ar-SA"/>
              </w:rPr>
              <w:t>340,1</w:t>
            </w:r>
          </w:p>
        </w:tc>
        <w:tc>
          <w:tcPr>
            <w:tcW w:w="991" w:type="dxa"/>
            <w:tcBorders/>
          </w:tcPr>
          <w:p>
            <w:pPr>
              <w:pStyle w:val="Normal"/>
              <w:widowControl w:val="false"/>
              <w:suppressAutoHyphens w:val="true"/>
              <w:spacing w:before="0" w:after="0"/>
              <w:jc w:val="center"/>
              <w:rPr>
                <w:color w:val="000000"/>
              </w:rPr>
            </w:pPr>
            <w:r>
              <w:rPr>
                <w:color w:val="000000"/>
                <w:kern w:val="0"/>
                <w:sz w:val="20"/>
                <w:szCs w:val="20"/>
                <w:lang w:val="ru-RU" w:bidi="ar-SA"/>
              </w:rPr>
              <w:t>288,6</w:t>
            </w:r>
          </w:p>
        </w:tc>
        <w:tc>
          <w:tcPr>
            <w:tcW w:w="947" w:type="dxa"/>
            <w:tcBorders>
              <w:left w:val="nil"/>
            </w:tcBorders>
          </w:tcPr>
          <w:p>
            <w:pPr>
              <w:pStyle w:val="Normal"/>
              <w:widowControl w:val="false"/>
              <w:suppressAutoHyphens w:val="true"/>
              <w:spacing w:before="0" w:after="0"/>
              <w:jc w:val="center"/>
              <w:rPr>
                <w:color w:val="000000"/>
              </w:rPr>
            </w:pPr>
            <w:r>
              <w:rPr>
                <w:color w:val="000000"/>
                <w:kern w:val="0"/>
                <w:sz w:val="20"/>
                <w:szCs w:val="20"/>
                <w:lang w:val="ru-RU" w:bidi="ar-SA"/>
              </w:rPr>
              <w:t>288,6</w:t>
            </w:r>
          </w:p>
        </w:tc>
        <w:tc>
          <w:tcPr>
            <w:tcW w:w="908" w:type="dxa"/>
            <w:tcBorders>
              <w:left w:val="nil"/>
            </w:tcBorders>
          </w:tcPr>
          <w:p>
            <w:pPr>
              <w:pStyle w:val="Normal"/>
              <w:widowControl w:val="false"/>
              <w:suppressAutoHyphens w:val="true"/>
              <w:spacing w:before="0" w:after="0"/>
              <w:jc w:val="center"/>
              <w:rPr>
                <w:color w:val="000000"/>
              </w:rPr>
            </w:pPr>
            <w:r>
              <w:rPr>
                <w:color w:val="000000"/>
                <w:kern w:val="0"/>
                <w:sz w:val="20"/>
                <w:szCs w:val="20"/>
                <w:lang w:val="ru-RU" w:bidi="ar-SA"/>
              </w:rPr>
              <w:t>288,6</w:t>
            </w:r>
          </w:p>
        </w:tc>
        <w:tc>
          <w:tcPr>
            <w:tcW w:w="847" w:type="dxa"/>
            <w:tcBorders/>
          </w:tcPr>
          <w:p>
            <w:pPr>
              <w:pStyle w:val="Normal"/>
              <w:widowControl w:val="false"/>
              <w:suppressAutoHyphens w:val="true"/>
              <w:spacing w:before="0" w:after="0"/>
              <w:jc w:val="center"/>
              <w:rPr>
                <w:color w:val="000000"/>
              </w:rPr>
            </w:pPr>
            <w:r>
              <w:rPr>
                <w:color w:val="000000"/>
                <w:kern w:val="0"/>
                <w:sz w:val="20"/>
                <w:szCs w:val="20"/>
                <w:lang w:val="ru-RU" w:bidi="ar-SA"/>
              </w:rPr>
              <w:t>-51,5</w:t>
            </w:r>
          </w:p>
        </w:tc>
        <w:tc>
          <w:tcPr>
            <w:tcW w:w="856" w:type="dxa"/>
            <w:tcBorders/>
          </w:tcPr>
          <w:p>
            <w:pPr>
              <w:pStyle w:val="Normal"/>
              <w:widowControl w:val="false"/>
              <w:suppressAutoHyphens w:val="true"/>
              <w:spacing w:before="0" w:after="0"/>
              <w:jc w:val="center"/>
              <w:rPr>
                <w:color w:val="000000"/>
              </w:rPr>
            </w:pPr>
            <w:r>
              <w:rPr>
                <w:color w:val="000000"/>
                <w:sz w:val="20"/>
                <w:szCs w:val="20"/>
                <w:lang w:val="en-US"/>
              </w:rPr>
              <w:t>0,0</w:t>
            </w:r>
          </w:p>
        </w:tc>
        <w:tc>
          <w:tcPr>
            <w:tcW w:w="990" w:type="dxa"/>
            <w:tcBorders/>
          </w:tcPr>
          <w:p>
            <w:pPr>
              <w:pStyle w:val="Normal"/>
              <w:widowControl w:val="false"/>
              <w:suppressAutoHyphens w:val="true"/>
              <w:spacing w:before="0" w:after="0"/>
              <w:jc w:val="center"/>
              <w:rPr>
                <w:color w:val="000000"/>
              </w:rPr>
            </w:pPr>
            <w:r>
              <w:rPr>
                <w:color w:val="000000"/>
                <w:kern w:val="0"/>
                <w:sz w:val="20"/>
                <w:szCs w:val="20"/>
                <w:lang w:val="ru-RU" w:bidi="ar-SA"/>
              </w:rPr>
              <w:t>0,0</w:t>
            </w:r>
          </w:p>
        </w:tc>
        <w:tc>
          <w:tcPr>
            <w:tcW w:w="854" w:type="dxa"/>
            <w:tcBorders/>
          </w:tcPr>
          <w:p>
            <w:pPr>
              <w:pStyle w:val="Normal"/>
              <w:widowControl w:val="false"/>
              <w:suppressAutoHyphens w:val="true"/>
              <w:spacing w:before="0" w:after="0"/>
              <w:jc w:val="center"/>
              <w:rPr>
                <w:color w:val="000000"/>
              </w:rPr>
            </w:pPr>
            <w:r>
              <w:rPr>
                <w:color w:val="000000"/>
                <w:kern w:val="0"/>
                <w:sz w:val="20"/>
                <w:szCs w:val="20"/>
                <w:lang w:val="ru-RU" w:bidi="ar-SA"/>
              </w:rPr>
              <w:t>-15,1</w:t>
            </w:r>
          </w:p>
        </w:tc>
        <w:tc>
          <w:tcPr>
            <w:tcW w:w="726" w:type="dxa"/>
            <w:tcBorders/>
          </w:tcPr>
          <w:p>
            <w:pPr>
              <w:pStyle w:val="Normal"/>
              <w:widowControl w:val="false"/>
              <w:suppressAutoHyphens w:val="true"/>
              <w:spacing w:before="0" w:after="0"/>
              <w:jc w:val="center"/>
              <w:rPr>
                <w:color w:val="000000"/>
              </w:rPr>
            </w:pPr>
            <w:r>
              <w:rPr>
                <w:color w:val="000000"/>
                <w:kern w:val="0"/>
                <w:sz w:val="20"/>
                <w:szCs w:val="20"/>
                <w:lang w:val="en-US" w:bidi="ar-SA"/>
              </w:rPr>
              <w:t>-</w:t>
            </w:r>
          </w:p>
        </w:tc>
        <w:tc>
          <w:tcPr>
            <w:tcW w:w="647" w:type="dxa"/>
            <w:tcBorders/>
          </w:tcPr>
          <w:p>
            <w:pPr>
              <w:pStyle w:val="Normal"/>
              <w:widowControl w:val="false"/>
              <w:suppressAutoHyphens w:val="true"/>
              <w:spacing w:before="0" w:after="0"/>
              <w:jc w:val="center"/>
              <w:rPr>
                <w:color w:val="000000"/>
              </w:rPr>
            </w:pPr>
            <w:r>
              <w:rPr>
                <w:color w:val="000000"/>
                <w:kern w:val="0"/>
                <w:sz w:val="20"/>
                <w:szCs w:val="20"/>
                <w:lang w:val="en-US" w:bidi="ar-SA"/>
              </w:rPr>
              <w:t>-</w:t>
            </w:r>
          </w:p>
        </w:tc>
      </w:tr>
      <w:tr>
        <w:trPr>
          <w:trHeight w:val="225" w:hRule="atLeast"/>
        </w:trPr>
        <w:tc>
          <w:tcPr>
            <w:tcW w:w="1560" w:type="dxa"/>
            <w:tcBorders/>
          </w:tcPr>
          <w:p>
            <w:pPr>
              <w:pStyle w:val="Normal"/>
              <w:widowControl w:val="false"/>
              <w:suppressAutoHyphens w:val="true"/>
              <w:spacing w:before="0" w:after="0"/>
              <w:jc w:val="center"/>
              <w:rPr>
                <w:color w:val="000000"/>
              </w:rPr>
            </w:pPr>
            <w:r>
              <w:rPr>
                <w:color w:val="000000"/>
                <w:kern w:val="0"/>
                <w:sz w:val="20"/>
                <w:szCs w:val="20"/>
                <w:lang w:val="ru-RU" w:bidi="ar-SA"/>
              </w:rPr>
              <w:t>-неналоговые</w:t>
            </w:r>
          </w:p>
        </w:tc>
        <w:tc>
          <w:tcPr>
            <w:tcW w:w="992" w:type="dxa"/>
            <w:tcBorders/>
          </w:tcPr>
          <w:p>
            <w:pPr>
              <w:pStyle w:val="Normal"/>
              <w:widowControl w:val="false"/>
              <w:suppressAutoHyphens w:val="true"/>
              <w:spacing w:before="0" w:after="0"/>
              <w:jc w:val="center"/>
              <w:rPr>
                <w:color w:val="000000"/>
              </w:rPr>
            </w:pPr>
            <w:r>
              <w:rPr>
                <w:color w:val="000000"/>
                <w:kern w:val="0"/>
                <w:sz w:val="20"/>
                <w:szCs w:val="20"/>
                <w:lang w:val="ru-RU" w:bidi="ar-SA"/>
              </w:rPr>
              <w:t>24,4</w:t>
            </w:r>
          </w:p>
        </w:tc>
        <w:tc>
          <w:tcPr>
            <w:tcW w:w="991" w:type="dxa"/>
            <w:tcBorders/>
          </w:tcPr>
          <w:p>
            <w:pPr>
              <w:pStyle w:val="Normal"/>
              <w:widowControl w:val="false"/>
              <w:suppressAutoHyphens w:val="true"/>
              <w:spacing w:before="0" w:after="0"/>
              <w:jc w:val="center"/>
              <w:rPr>
                <w:color w:val="000000"/>
              </w:rPr>
            </w:pPr>
            <w:r>
              <w:rPr>
                <w:color w:val="000000"/>
                <w:kern w:val="0"/>
                <w:sz w:val="20"/>
                <w:szCs w:val="20"/>
                <w:lang w:val="ru-RU" w:bidi="ar-SA"/>
              </w:rPr>
              <w:t>44,5</w:t>
            </w:r>
          </w:p>
        </w:tc>
        <w:tc>
          <w:tcPr>
            <w:tcW w:w="947" w:type="dxa"/>
            <w:tcBorders>
              <w:left w:val="nil"/>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c>
          <w:tcPr>
            <w:tcW w:w="908" w:type="dxa"/>
            <w:tcBorders>
              <w:left w:val="nil"/>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c>
          <w:tcPr>
            <w:tcW w:w="847" w:type="dxa"/>
            <w:tcBorders/>
          </w:tcPr>
          <w:p>
            <w:pPr>
              <w:pStyle w:val="Normal"/>
              <w:widowControl w:val="false"/>
              <w:suppressAutoHyphens w:val="true"/>
              <w:spacing w:before="0" w:after="0"/>
              <w:jc w:val="center"/>
              <w:rPr>
                <w:color w:val="000000"/>
              </w:rPr>
            </w:pPr>
            <w:r>
              <w:rPr>
                <w:color w:val="000000"/>
                <w:kern w:val="0"/>
                <w:sz w:val="20"/>
                <w:szCs w:val="20"/>
                <w:lang w:val="ru-RU" w:bidi="ar-SA"/>
              </w:rPr>
              <w:t>20,1</w:t>
            </w:r>
          </w:p>
        </w:tc>
        <w:tc>
          <w:tcPr>
            <w:tcW w:w="856" w:type="dxa"/>
            <w:tcBorders/>
          </w:tcPr>
          <w:p>
            <w:pPr>
              <w:pStyle w:val="Normal"/>
              <w:widowControl w:val="false"/>
              <w:suppressAutoHyphens w:val="true"/>
              <w:spacing w:before="0" w:after="0"/>
              <w:jc w:val="center"/>
              <w:rPr>
                <w:color w:val="000000"/>
              </w:rPr>
            </w:pPr>
            <w:r>
              <w:rPr>
                <w:color w:val="000000"/>
                <w:kern w:val="0"/>
                <w:sz w:val="20"/>
                <w:szCs w:val="20"/>
                <w:lang w:val="ru-RU" w:bidi="ar-SA"/>
              </w:rPr>
              <w:t>-44,5</w:t>
            </w:r>
          </w:p>
        </w:tc>
        <w:tc>
          <w:tcPr>
            <w:tcW w:w="990" w:type="dxa"/>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c>
          <w:tcPr>
            <w:tcW w:w="854" w:type="dxa"/>
            <w:tcBorders/>
          </w:tcPr>
          <w:p>
            <w:pPr>
              <w:pStyle w:val="Normal"/>
              <w:widowControl w:val="false"/>
              <w:suppressAutoHyphens w:val="true"/>
              <w:spacing w:before="0" w:after="0"/>
              <w:jc w:val="center"/>
              <w:rPr>
                <w:color w:val="000000"/>
              </w:rPr>
            </w:pPr>
            <w:r>
              <w:rPr>
                <w:color w:val="000000"/>
                <w:kern w:val="0"/>
                <w:sz w:val="20"/>
                <w:szCs w:val="20"/>
                <w:lang w:val="ru-RU" w:bidi="ar-SA"/>
              </w:rPr>
              <w:t>82,4</w:t>
            </w:r>
          </w:p>
        </w:tc>
        <w:tc>
          <w:tcPr>
            <w:tcW w:w="726" w:type="dxa"/>
            <w:tcBorders/>
          </w:tcPr>
          <w:p>
            <w:pPr>
              <w:pStyle w:val="Normal"/>
              <w:widowControl w:val="false"/>
              <w:suppressAutoHyphens w:val="true"/>
              <w:spacing w:before="0" w:after="0"/>
              <w:jc w:val="center"/>
              <w:rPr>
                <w:color w:val="000000"/>
              </w:rPr>
            </w:pPr>
            <w:r>
              <w:rPr>
                <w:color w:val="000000"/>
                <w:kern w:val="0"/>
                <w:sz w:val="20"/>
                <w:szCs w:val="20"/>
                <w:lang w:val="ru-RU" w:bidi="ar-SA"/>
              </w:rPr>
              <w:t>-100</w:t>
            </w:r>
          </w:p>
        </w:tc>
        <w:tc>
          <w:tcPr>
            <w:tcW w:w="647" w:type="dxa"/>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r>
      <w:tr>
        <w:trPr/>
        <w:tc>
          <w:tcPr>
            <w:tcW w:w="1560" w:type="dxa"/>
            <w:tcBorders/>
          </w:tcPr>
          <w:p>
            <w:pPr>
              <w:pStyle w:val="Normal"/>
              <w:widowControl w:val="false"/>
              <w:suppressAutoHyphens w:val="true"/>
              <w:spacing w:before="0" w:after="0"/>
              <w:jc w:val="center"/>
              <w:rPr>
                <w:color w:val="000000"/>
              </w:rPr>
            </w:pPr>
            <w:r>
              <w:rPr>
                <w:color w:val="000000"/>
                <w:kern w:val="0"/>
                <w:sz w:val="20"/>
                <w:szCs w:val="20"/>
                <w:lang w:val="ru-RU" w:bidi="ar-SA"/>
              </w:rPr>
              <w:t>Безвозмездные поступления,</w:t>
            </w:r>
          </w:p>
          <w:p>
            <w:pPr>
              <w:pStyle w:val="Normal"/>
              <w:widowControl w:val="false"/>
              <w:suppressAutoHyphens w:val="true"/>
              <w:spacing w:before="0" w:after="0"/>
              <w:jc w:val="center"/>
              <w:rPr>
                <w:color w:val="000000"/>
              </w:rPr>
            </w:pPr>
            <w:r>
              <w:rPr>
                <w:color w:val="000000"/>
                <w:kern w:val="0"/>
                <w:sz w:val="20"/>
                <w:szCs w:val="20"/>
                <w:lang w:val="ru-RU" w:bidi="ar-SA"/>
              </w:rPr>
              <w:t>Всего, в т.ч.:</w:t>
            </w:r>
          </w:p>
        </w:tc>
        <w:tc>
          <w:tcPr>
            <w:tcW w:w="992" w:type="dxa"/>
            <w:tcBorders/>
          </w:tcPr>
          <w:p>
            <w:pPr>
              <w:pStyle w:val="Normal"/>
              <w:widowControl w:val="false"/>
              <w:suppressAutoHyphens w:val="true"/>
              <w:spacing w:before="0" w:after="0"/>
              <w:jc w:val="center"/>
              <w:rPr>
                <w:color w:val="000000"/>
              </w:rPr>
            </w:pPr>
            <w:r>
              <w:rPr>
                <w:color w:val="000000"/>
                <w:kern w:val="0"/>
                <w:sz w:val="20"/>
                <w:szCs w:val="20"/>
                <w:lang w:val="ru-RU" w:bidi="ar-SA"/>
              </w:rPr>
              <w:t>16 789,0</w:t>
            </w:r>
          </w:p>
        </w:tc>
        <w:tc>
          <w:tcPr>
            <w:tcW w:w="991" w:type="dxa"/>
            <w:tcBorders/>
          </w:tcPr>
          <w:p>
            <w:pPr>
              <w:pStyle w:val="Normal"/>
              <w:widowControl w:val="false"/>
              <w:suppressAutoHyphens w:val="true"/>
              <w:spacing w:before="0" w:after="0"/>
              <w:jc w:val="center"/>
              <w:rPr>
                <w:color w:val="000000"/>
              </w:rPr>
            </w:pPr>
            <w:r>
              <w:rPr>
                <w:color w:val="000000"/>
                <w:kern w:val="0"/>
                <w:sz w:val="20"/>
                <w:szCs w:val="20"/>
                <w:lang w:val="ru-RU" w:bidi="ar-SA"/>
              </w:rPr>
              <w:t>14 265,3</w:t>
            </w:r>
          </w:p>
        </w:tc>
        <w:tc>
          <w:tcPr>
            <w:tcW w:w="947" w:type="dxa"/>
            <w:tcBorders/>
          </w:tcPr>
          <w:p>
            <w:pPr>
              <w:pStyle w:val="Normal"/>
              <w:widowControl w:val="false"/>
              <w:suppressAutoHyphens w:val="true"/>
              <w:spacing w:before="0" w:after="0"/>
              <w:jc w:val="center"/>
              <w:rPr>
                <w:color w:val="000000"/>
              </w:rPr>
            </w:pPr>
            <w:r>
              <w:rPr>
                <w:color w:val="000000"/>
                <w:kern w:val="0"/>
                <w:sz w:val="20"/>
                <w:szCs w:val="20"/>
                <w:lang w:val="ru-RU" w:bidi="ar-SA"/>
              </w:rPr>
              <w:t>11 373,8</w:t>
            </w:r>
          </w:p>
        </w:tc>
        <w:tc>
          <w:tcPr>
            <w:tcW w:w="908" w:type="dxa"/>
            <w:tcBorders/>
          </w:tcPr>
          <w:p>
            <w:pPr>
              <w:pStyle w:val="Normal"/>
              <w:widowControl w:val="false"/>
              <w:suppressAutoHyphens w:val="true"/>
              <w:spacing w:before="0" w:after="0"/>
              <w:jc w:val="center"/>
              <w:rPr>
                <w:color w:val="000000"/>
              </w:rPr>
            </w:pPr>
            <w:r>
              <w:rPr>
                <w:color w:val="000000"/>
                <w:kern w:val="0"/>
                <w:sz w:val="20"/>
                <w:szCs w:val="20"/>
                <w:lang w:val="ru-RU" w:bidi="ar-SA"/>
              </w:rPr>
              <w:t>9 866,5</w:t>
            </w:r>
          </w:p>
        </w:tc>
        <w:tc>
          <w:tcPr>
            <w:tcW w:w="847" w:type="dxa"/>
            <w:tcBorders/>
          </w:tcPr>
          <w:p>
            <w:pPr>
              <w:pStyle w:val="Normal"/>
              <w:widowControl w:val="false"/>
              <w:suppressAutoHyphens w:val="true"/>
              <w:spacing w:before="0" w:after="0"/>
              <w:jc w:val="center"/>
              <w:rPr>
                <w:color w:val="000000"/>
              </w:rPr>
            </w:pPr>
            <w:r>
              <w:rPr>
                <w:color w:val="000000"/>
                <w:kern w:val="0"/>
                <w:sz w:val="20"/>
                <w:szCs w:val="20"/>
                <w:lang w:val="ru-RU" w:bidi="ar-SA"/>
              </w:rPr>
              <w:t>-2543,9</w:t>
            </w:r>
          </w:p>
        </w:tc>
        <w:tc>
          <w:tcPr>
            <w:tcW w:w="856" w:type="dxa"/>
            <w:tcBorders/>
          </w:tcPr>
          <w:p>
            <w:pPr>
              <w:pStyle w:val="Normal"/>
              <w:widowControl w:val="false"/>
              <w:suppressAutoHyphens w:val="true"/>
              <w:spacing w:before="0" w:after="0"/>
              <w:jc w:val="center"/>
              <w:rPr>
                <w:color w:val="000000"/>
              </w:rPr>
            </w:pPr>
            <w:r>
              <w:rPr>
                <w:color w:val="000000"/>
                <w:kern w:val="0"/>
                <w:sz w:val="20"/>
                <w:szCs w:val="20"/>
                <w:lang w:val="ru-RU" w:bidi="ar-SA"/>
              </w:rPr>
              <w:t>-2891,5</w:t>
            </w:r>
          </w:p>
        </w:tc>
        <w:tc>
          <w:tcPr>
            <w:tcW w:w="990" w:type="dxa"/>
            <w:tcBorders/>
          </w:tcPr>
          <w:p>
            <w:pPr>
              <w:pStyle w:val="Normal"/>
              <w:widowControl w:val="false"/>
              <w:suppressAutoHyphens w:val="true"/>
              <w:spacing w:before="0" w:after="0"/>
              <w:jc w:val="center"/>
              <w:rPr>
                <w:color w:val="000000"/>
              </w:rPr>
            </w:pPr>
            <w:r>
              <w:rPr>
                <w:color w:val="000000"/>
                <w:kern w:val="0"/>
                <w:sz w:val="20"/>
                <w:szCs w:val="20"/>
                <w:lang w:val="ru-RU" w:bidi="ar-SA"/>
              </w:rPr>
              <w:t>-1 507,3</w:t>
            </w:r>
          </w:p>
        </w:tc>
        <w:tc>
          <w:tcPr>
            <w:tcW w:w="854" w:type="dxa"/>
            <w:tcBorders/>
          </w:tcPr>
          <w:p>
            <w:pPr>
              <w:pStyle w:val="Normal"/>
              <w:widowControl w:val="false"/>
              <w:suppressAutoHyphens w:val="true"/>
              <w:spacing w:before="0" w:after="0"/>
              <w:jc w:val="center"/>
              <w:rPr>
                <w:color w:val="000000"/>
              </w:rPr>
            </w:pPr>
            <w:r>
              <w:rPr>
                <w:color w:val="000000"/>
                <w:kern w:val="0"/>
                <w:sz w:val="20"/>
                <w:szCs w:val="20"/>
                <w:lang w:val="ru-RU" w:bidi="ar-SA"/>
              </w:rPr>
              <w:t>-15,1</w:t>
            </w:r>
          </w:p>
        </w:tc>
        <w:tc>
          <w:tcPr>
            <w:tcW w:w="726" w:type="dxa"/>
            <w:tcBorders/>
          </w:tcPr>
          <w:p>
            <w:pPr>
              <w:pStyle w:val="Normal"/>
              <w:widowControl w:val="false"/>
              <w:suppressAutoHyphens w:val="true"/>
              <w:spacing w:before="0" w:after="0"/>
              <w:jc w:val="center"/>
              <w:rPr>
                <w:color w:val="000000"/>
              </w:rPr>
            </w:pPr>
            <w:r>
              <w:rPr>
                <w:color w:val="000000"/>
                <w:kern w:val="0"/>
                <w:sz w:val="20"/>
                <w:szCs w:val="20"/>
                <w:lang w:val="ru-RU" w:bidi="ar-SA"/>
              </w:rPr>
              <w:t>-20,3</w:t>
            </w:r>
          </w:p>
        </w:tc>
        <w:tc>
          <w:tcPr>
            <w:tcW w:w="647" w:type="dxa"/>
            <w:tcBorders/>
          </w:tcPr>
          <w:p>
            <w:pPr>
              <w:pStyle w:val="Normal"/>
              <w:widowControl w:val="false"/>
              <w:suppressAutoHyphens w:val="true"/>
              <w:spacing w:before="0" w:after="0"/>
              <w:jc w:val="center"/>
              <w:rPr>
                <w:color w:val="000000"/>
              </w:rPr>
            </w:pPr>
            <w:r>
              <w:rPr>
                <w:color w:val="000000"/>
                <w:kern w:val="0"/>
                <w:sz w:val="20"/>
                <w:szCs w:val="20"/>
                <w:lang w:val="ru-RU" w:bidi="ar-SA"/>
              </w:rPr>
              <w:t>-13,3</w:t>
            </w:r>
          </w:p>
        </w:tc>
      </w:tr>
      <w:tr>
        <w:trPr>
          <w:trHeight w:val="300" w:hRule="atLeast"/>
        </w:trPr>
        <w:tc>
          <w:tcPr>
            <w:tcW w:w="1560" w:type="dxa"/>
            <w:tcBorders/>
            <w:vAlign w:val="center"/>
          </w:tcPr>
          <w:p>
            <w:pPr>
              <w:pStyle w:val="Normal"/>
              <w:widowControl w:val="false"/>
              <w:suppressAutoHyphens w:val="true"/>
              <w:spacing w:before="0" w:after="0"/>
              <w:jc w:val="center"/>
              <w:rPr>
                <w:color w:val="000000"/>
              </w:rPr>
            </w:pPr>
            <w:r>
              <w:rPr>
                <w:color w:val="000000"/>
                <w:kern w:val="0"/>
                <w:sz w:val="18"/>
                <w:szCs w:val="18"/>
                <w:lang w:val="ru-RU" w:bidi="ar-SA"/>
              </w:rPr>
              <w:t>Дотации</w:t>
            </w:r>
          </w:p>
        </w:tc>
        <w:tc>
          <w:tcPr>
            <w:tcW w:w="992" w:type="dxa"/>
            <w:tcBorders/>
          </w:tcPr>
          <w:p>
            <w:pPr>
              <w:pStyle w:val="Normal"/>
              <w:widowControl w:val="false"/>
              <w:suppressAutoHyphens w:val="true"/>
              <w:spacing w:before="0" w:after="0"/>
              <w:jc w:val="center"/>
              <w:rPr>
                <w:color w:val="000000"/>
              </w:rPr>
            </w:pPr>
            <w:r>
              <w:rPr>
                <w:color w:val="000000"/>
                <w:kern w:val="0"/>
                <w:sz w:val="20"/>
                <w:szCs w:val="20"/>
                <w:lang w:val="en-US" w:bidi="ar-SA"/>
              </w:rPr>
              <w:t>12 482,6</w:t>
            </w:r>
          </w:p>
        </w:tc>
        <w:tc>
          <w:tcPr>
            <w:tcW w:w="991" w:type="dxa"/>
            <w:tcBorders/>
          </w:tcPr>
          <w:p>
            <w:pPr>
              <w:pStyle w:val="Normal"/>
              <w:widowControl w:val="false"/>
              <w:suppressAutoHyphens w:val="true"/>
              <w:spacing w:before="0" w:after="0"/>
              <w:jc w:val="center"/>
              <w:rPr>
                <w:color w:val="000000"/>
              </w:rPr>
            </w:pPr>
            <w:r>
              <w:rPr>
                <w:color w:val="000000"/>
                <w:kern w:val="0"/>
                <w:sz w:val="20"/>
                <w:szCs w:val="20"/>
                <w:lang w:val="ru-RU" w:bidi="ar-SA"/>
              </w:rPr>
              <w:t>12 756,8</w:t>
            </w:r>
          </w:p>
        </w:tc>
        <w:tc>
          <w:tcPr>
            <w:tcW w:w="947" w:type="dxa"/>
            <w:tcBorders/>
          </w:tcPr>
          <w:p>
            <w:pPr>
              <w:pStyle w:val="Normal"/>
              <w:widowControl w:val="false"/>
              <w:suppressAutoHyphens w:val="true"/>
              <w:spacing w:before="0" w:after="0"/>
              <w:jc w:val="center"/>
              <w:rPr>
                <w:color w:val="000000"/>
              </w:rPr>
            </w:pPr>
            <w:r>
              <w:rPr>
                <w:color w:val="000000"/>
                <w:kern w:val="0"/>
                <w:sz w:val="20"/>
                <w:szCs w:val="20"/>
                <w:lang w:val="ru-RU" w:bidi="ar-SA"/>
              </w:rPr>
              <w:t>9 850,2</w:t>
            </w:r>
          </w:p>
        </w:tc>
        <w:tc>
          <w:tcPr>
            <w:tcW w:w="908" w:type="dxa"/>
            <w:tcBorders/>
          </w:tcPr>
          <w:p>
            <w:pPr>
              <w:pStyle w:val="Normal"/>
              <w:widowControl w:val="false"/>
              <w:suppressAutoHyphens w:val="true"/>
              <w:spacing w:before="0" w:after="0"/>
              <w:jc w:val="center"/>
              <w:rPr>
                <w:color w:val="000000"/>
              </w:rPr>
            </w:pPr>
            <w:r>
              <w:rPr>
                <w:color w:val="000000"/>
                <w:kern w:val="0"/>
                <w:sz w:val="20"/>
                <w:szCs w:val="20"/>
                <w:lang w:val="ru-RU" w:bidi="ar-SA"/>
              </w:rPr>
              <w:t>8 336,6</w:t>
            </w:r>
          </w:p>
        </w:tc>
        <w:tc>
          <w:tcPr>
            <w:tcW w:w="847" w:type="dxa"/>
            <w:tcBorders/>
          </w:tcPr>
          <w:p>
            <w:pPr>
              <w:pStyle w:val="Normal"/>
              <w:widowControl w:val="false"/>
              <w:suppressAutoHyphens w:val="true"/>
              <w:spacing w:before="0" w:after="0"/>
              <w:jc w:val="center"/>
              <w:rPr>
                <w:color w:val="000000"/>
              </w:rPr>
            </w:pPr>
            <w:r>
              <w:rPr>
                <w:color w:val="000000"/>
                <w:sz w:val="20"/>
                <w:szCs w:val="20"/>
              </w:rPr>
              <w:t>274,2</w:t>
            </w:r>
          </w:p>
        </w:tc>
        <w:tc>
          <w:tcPr>
            <w:tcW w:w="856" w:type="dxa"/>
            <w:tcBorders/>
          </w:tcPr>
          <w:p>
            <w:pPr>
              <w:pStyle w:val="Normal"/>
              <w:widowControl w:val="false"/>
              <w:suppressAutoHyphens w:val="true"/>
              <w:spacing w:before="0" w:after="0"/>
              <w:jc w:val="center"/>
              <w:rPr>
                <w:color w:val="000000"/>
              </w:rPr>
            </w:pPr>
            <w:r>
              <w:rPr>
                <w:color w:val="000000"/>
                <w:kern w:val="0"/>
                <w:sz w:val="20"/>
                <w:szCs w:val="20"/>
                <w:lang w:val="ru-RU" w:bidi="ar-SA"/>
              </w:rPr>
              <w:t>-2906,6</w:t>
            </w:r>
          </w:p>
        </w:tc>
        <w:tc>
          <w:tcPr>
            <w:tcW w:w="990" w:type="dxa"/>
            <w:tcBorders/>
          </w:tcPr>
          <w:p>
            <w:pPr>
              <w:pStyle w:val="Normal"/>
              <w:widowControl w:val="false"/>
              <w:suppressAutoHyphens w:val="true"/>
              <w:spacing w:before="0" w:after="0"/>
              <w:jc w:val="center"/>
              <w:rPr>
                <w:color w:val="000000"/>
              </w:rPr>
            </w:pPr>
            <w:r>
              <w:rPr>
                <w:color w:val="000000"/>
                <w:kern w:val="0"/>
                <w:sz w:val="20"/>
                <w:szCs w:val="20"/>
                <w:lang w:val="ru-RU" w:bidi="ar-SA"/>
              </w:rPr>
              <w:t>-1 513,6</w:t>
            </w:r>
          </w:p>
        </w:tc>
        <w:tc>
          <w:tcPr>
            <w:tcW w:w="854" w:type="dxa"/>
            <w:tcBorders/>
          </w:tcPr>
          <w:p>
            <w:pPr>
              <w:pStyle w:val="Normal"/>
              <w:widowControl w:val="false"/>
              <w:suppressAutoHyphens w:val="true"/>
              <w:spacing w:before="0" w:after="0"/>
              <w:jc w:val="center"/>
              <w:rPr>
                <w:color w:val="000000"/>
              </w:rPr>
            </w:pPr>
            <w:r>
              <w:rPr>
                <w:color w:val="000000"/>
                <w:sz w:val="20"/>
              </w:rPr>
              <w:t>2,2</w:t>
            </w:r>
          </w:p>
        </w:tc>
        <w:tc>
          <w:tcPr>
            <w:tcW w:w="726" w:type="dxa"/>
            <w:tcBorders/>
          </w:tcPr>
          <w:p>
            <w:pPr>
              <w:pStyle w:val="Normal"/>
              <w:widowControl w:val="false"/>
              <w:suppressAutoHyphens w:val="true"/>
              <w:spacing w:before="0" w:after="0"/>
              <w:jc w:val="center"/>
              <w:rPr>
                <w:color w:val="000000"/>
              </w:rPr>
            </w:pPr>
            <w:r>
              <w:rPr>
                <w:color w:val="000000"/>
                <w:kern w:val="0"/>
                <w:sz w:val="20"/>
                <w:szCs w:val="20"/>
                <w:lang w:val="ru-RU" w:bidi="ar-SA"/>
              </w:rPr>
              <w:t>-22,8</w:t>
            </w:r>
          </w:p>
        </w:tc>
        <w:tc>
          <w:tcPr>
            <w:tcW w:w="647" w:type="dxa"/>
            <w:tcBorders/>
          </w:tcPr>
          <w:p>
            <w:pPr>
              <w:pStyle w:val="Normal"/>
              <w:widowControl w:val="false"/>
              <w:suppressAutoHyphens w:val="true"/>
              <w:spacing w:before="0" w:after="0"/>
              <w:jc w:val="center"/>
              <w:rPr>
                <w:color w:val="000000"/>
              </w:rPr>
            </w:pPr>
            <w:r>
              <w:rPr>
                <w:color w:val="000000"/>
                <w:kern w:val="0"/>
                <w:sz w:val="20"/>
                <w:szCs w:val="20"/>
                <w:lang w:val="ru-RU" w:bidi="ar-SA"/>
              </w:rPr>
              <w:t>-15,4</w:t>
            </w:r>
          </w:p>
        </w:tc>
      </w:tr>
      <w:tr>
        <w:trPr/>
        <w:tc>
          <w:tcPr>
            <w:tcW w:w="1560" w:type="dxa"/>
            <w:tcBorders/>
            <w:vAlign w:val="center"/>
          </w:tcPr>
          <w:p>
            <w:pPr>
              <w:pStyle w:val="Normal"/>
              <w:widowControl w:val="false"/>
              <w:suppressAutoHyphens w:val="true"/>
              <w:spacing w:before="0" w:after="0"/>
              <w:jc w:val="center"/>
              <w:rPr>
                <w:color w:val="000000"/>
              </w:rPr>
            </w:pPr>
            <w:r>
              <w:rPr>
                <w:color w:val="000000"/>
                <w:kern w:val="0"/>
                <w:sz w:val="18"/>
                <w:szCs w:val="18"/>
                <w:lang w:val="ru-RU" w:bidi="ar-SA"/>
              </w:rPr>
              <w:t>Субсидии</w:t>
            </w:r>
          </w:p>
        </w:tc>
        <w:tc>
          <w:tcPr>
            <w:tcW w:w="992" w:type="dxa"/>
            <w:tcBorders/>
          </w:tcPr>
          <w:p>
            <w:pPr>
              <w:pStyle w:val="Normal"/>
              <w:widowControl w:val="false"/>
              <w:suppressAutoHyphens w:val="true"/>
              <w:spacing w:before="0" w:after="0"/>
              <w:jc w:val="center"/>
              <w:rPr>
                <w:color w:val="000000"/>
              </w:rPr>
            </w:pPr>
            <w:r>
              <w:rPr>
                <w:color w:val="000000"/>
                <w:kern w:val="0"/>
                <w:sz w:val="20"/>
                <w:szCs w:val="20"/>
                <w:lang w:val="ru-RU" w:bidi="ar-SA"/>
              </w:rPr>
              <w:t>990,0</w:t>
            </w:r>
          </w:p>
        </w:tc>
        <w:tc>
          <w:tcPr>
            <w:tcW w:w="991" w:type="dxa"/>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c>
          <w:tcPr>
            <w:tcW w:w="947" w:type="dxa"/>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c>
          <w:tcPr>
            <w:tcW w:w="908" w:type="dxa"/>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c>
          <w:tcPr>
            <w:tcW w:w="847" w:type="dxa"/>
            <w:tcBorders/>
          </w:tcPr>
          <w:p>
            <w:pPr>
              <w:pStyle w:val="Normal"/>
              <w:widowControl w:val="false"/>
              <w:suppressAutoHyphens w:val="true"/>
              <w:spacing w:before="0" w:after="0"/>
              <w:jc w:val="center"/>
              <w:rPr>
                <w:color w:val="000000"/>
              </w:rPr>
            </w:pPr>
            <w:r>
              <w:rPr>
                <w:color w:val="000000"/>
                <w:kern w:val="0"/>
                <w:sz w:val="20"/>
                <w:szCs w:val="20"/>
                <w:lang w:val="ru-RU" w:bidi="ar-SA"/>
              </w:rPr>
              <w:t>-900,0</w:t>
            </w:r>
          </w:p>
        </w:tc>
        <w:tc>
          <w:tcPr>
            <w:tcW w:w="856" w:type="dxa"/>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c>
          <w:tcPr>
            <w:tcW w:w="990" w:type="dxa"/>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c>
          <w:tcPr>
            <w:tcW w:w="854" w:type="dxa"/>
            <w:tcBorders/>
          </w:tcPr>
          <w:p>
            <w:pPr>
              <w:pStyle w:val="Normal"/>
              <w:widowControl w:val="false"/>
              <w:suppressAutoHyphens w:val="true"/>
              <w:spacing w:before="0" w:after="0"/>
              <w:jc w:val="center"/>
              <w:rPr>
                <w:color w:val="000000"/>
              </w:rPr>
            </w:pPr>
            <w:r>
              <w:rPr>
                <w:color w:val="000000"/>
                <w:kern w:val="0"/>
                <w:sz w:val="20"/>
                <w:szCs w:val="20"/>
                <w:lang w:val="ru-RU" w:bidi="ar-SA"/>
              </w:rPr>
              <w:t>-100</w:t>
            </w:r>
          </w:p>
        </w:tc>
        <w:tc>
          <w:tcPr>
            <w:tcW w:w="726" w:type="dxa"/>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c>
          <w:tcPr>
            <w:tcW w:w="647" w:type="dxa"/>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r>
      <w:tr>
        <w:trPr/>
        <w:tc>
          <w:tcPr>
            <w:tcW w:w="1560" w:type="dxa"/>
            <w:tcBorders/>
            <w:vAlign w:val="center"/>
          </w:tcPr>
          <w:p>
            <w:pPr>
              <w:pStyle w:val="Normal"/>
              <w:widowControl w:val="false"/>
              <w:suppressAutoHyphens w:val="true"/>
              <w:spacing w:before="0" w:after="0"/>
              <w:jc w:val="center"/>
              <w:rPr>
                <w:color w:val="000000"/>
              </w:rPr>
            </w:pPr>
            <w:r>
              <w:rPr>
                <w:color w:val="000000"/>
                <w:kern w:val="0"/>
                <w:sz w:val="18"/>
                <w:szCs w:val="18"/>
                <w:lang w:val="ru-RU" w:bidi="ar-SA"/>
              </w:rPr>
              <w:t>Субвенции</w:t>
            </w:r>
          </w:p>
        </w:tc>
        <w:tc>
          <w:tcPr>
            <w:tcW w:w="992" w:type="dxa"/>
            <w:tcBorders/>
          </w:tcPr>
          <w:p>
            <w:pPr>
              <w:pStyle w:val="Normal"/>
              <w:widowControl w:val="false"/>
              <w:suppressAutoHyphens w:val="true"/>
              <w:spacing w:before="0" w:after="0"/>
              <w:jc w:val="center"/>
              <w:rPr>
                <w:color w:val="000000"/>
              </w:rPr>
            </w:pPr>
            <w:r>
              <w:rPr>
                <w:color w:val="000000"/>
                <w:kern w:val="0"/>
                <w:sz w:val="20"/>
                <w:szCs w:val="20"/>
                <w:lang w:val="en-US" w:bidi="ar-SA"/>
              </w:rPr>
              <w:t>138,</w:t>
            </w:r>
            <w:r>
              <w:rPr>
                <w:color w:val="000000"/>
                <w:kern w:val="0"/>
                <w:sz w:val="20"/>
                <w:szCs w:val="20"/>
                <w:lang w:val="ru-RU" w:bidi="ar-SA"/>
              </w:rPr>
              <w:t>4</w:t>
            </w:r>
          </w:p>
        </w:tc>
        <w:tc>
          <w:tcPr>
            <w:tcW w:w="991" w:type="dxa"/>
            <w:tcBorders/>
          </w:tcPr>
          <w:p>
            <w:pPr>
              <w:pStyle w:val="Normal"/>
              <w:widowControl w:val="false"/>
              <w:suppressAutoHyphens w:val="true"/>
              <w:spacing w:before="0" w:after="0"/>
              <w:jc w:val="center"/>
              <w:rPr>
                <w:color w:val="000000"/>
              </w:rPr>
            </w:pPr>
            <w:r>
              <w:rPr>
                <w:color w:val="000000"/>
                <w:kern w:val="0"/>
                <w:sz w:val="20"/>
                <w:szCs w:val="20"/>
                <w:lang w:val="ru-RU" w:bidi="ar-SA"/>
              </w:rPr>
              <w:t>158,1</w:t>
            </w:r>
          </w:p>
        </w:tc>
        <w:tc>
          <w:tcPr>
            <w:tcW w:w="947" w:type="dxa"/>
            <w:tcBorders/>
          </w:tcPr>
          <w:p>
            <w:pPr>
              <w:pStyle w:val="Normal"/>
              <w:widowControl w:val="false"/>
              <w:suppressAutoHyphens w:val="true"/>
              <w:spacing w:before="0" w:after="0"/>
              <w:jc w:val="center"/>
              <w:rPr>
                <w:color w:val="000000"/>
              </w:rPr>
            </w:pPr>
            <w:r>
              <w:rPr>
                <w:color w:val="000000"/>
                <w:kern w:val="0"/>
                <w:sz w:val="20"/>
                <w:szCs w:val="20"/>
                <w:lang w:val="ru-RU" w:bidi="ar-SA"/>
              </w:rPr>
              <w:t>173,2</w:t>
            </w:r>
          </w:p>
        </w:tc>
        <w:tc>
          <w:tcPr>
            <w:tcW w:w="908" w:type="dxa"/>
            <w:tcBorders/>
          </w:tcPr>
          <w:p>
            <w:pPr>
              <w:pStyle w:val="Normal"/>
              <w:widowControl w:val="false"/>
              <w:suppressAutoHyphens w:val="true"/>
              <w:spacing w:before="0" w:after="0"/>
              <w:jc w:val="center"/>
              <w:rPr>
                <w:color w:val="000000"/>
              </w:rPr>
            </w:pPr>
            <w:r>
              <w:rPr>
                <w:color w:val="000000"/>
                <w:kern w:val="0"/>
                <w:sz w:val="20"/>
                <w:szCs w:val="20"/>
                <w:lang w:val="ru-RU" w:bidi="ar-SA"/>
              </w:rPr>
              <w:t>179,5</w:t>
            </w:r>
          </w:p>
        </w:tc>
        <w:tc>
          <w:tcPr>
            <w:tcW w:w="847" w:type="dxa"/>
            <w:tcBorders/>
          </w:tcPr>
          <w:p>
            <w:pPr>
              <w:pStyle w:val="Normal"/>
              <w:widowControl w:val="false"/>
              <w:suppressAutoHyphens w:val="true"/>
              <w:spacing w:before="0" w:after="0"/>
              <w:jc w:val="center"/>
              <w:rPr>
                <w:color w:val="000000"/>
              </w:rPr>
            </w:pPr>
            <w:r>
              <w:rPr>
                <w:color w:val="000000"/>
                <w:sz w:val="20"/>
              </w:rPr>
              <w:t>19,7</w:t>
            </w:r>
          </w:p>
        </w:tc>
        <w:tc>
          <w:tcPr>
            <w:tcW w:w="856" w:type="dxa"/>
            <w:tcBorders/>
          </w:tcPr>
          <w:p>
            <w:pPr>
              <w:pStyle w:val="Normal"/>
              <w:widowControl w:val="false"/>
              <w:suppressAutoHyphens w:val="true"/>
              <w:spacing w:before="0" w:after="0"/>
              <w:jc w:val="center"/>
              <w:rPr>
                <w:color w:val="000000"/>
              </w:rPr>
            </w:pPr>
            <w:r>
              <w:rPr>
                <w:color w:val="000000"/>
                <w:kern w:val="0"/>
                <w:sz w:val="20"/>
                <w:szCs w:val="20"/>
                <w:lang w:val="ru-RU" w:bidi="ar-SA"/>
              </w:rPr>
              <w:t>15,1</w:t>
            </w:r>
          </w:p>
        </w:tc>
        <w:tc>
          <w:tcPr>
            <w:tcW w:w="990" w:type="dxa"/>
            <w:tcBorders/>
          </w:tcPr>
          <w:p>
            <w:pPr>
              <w:pStyle w:val="Normal"/>
              <w:widowControl w:val="false"/>
              <w:suppressAutoHyphens w:val="true"/>
              <w:spacing w:before="0" w:after="0"/>
              <w:jc w:val="center"/>
              <w:rPr>
                <w:color w:val="000000"/>
              </w:rPr>
            </w:pPr>
            <w:r>
              <w:rPr>
                <w:color w:val="000000"/>
                <w:kern w:val="0"/>
                <w:sz w:val="20"/>
                <w:szCs w:val="20"/>
                <w:lang w:val="ru-RU" w:bidi="ar-SA"/>
              </w:rPr>
              <w:t>6,3</w:t>
            </w:r>
          </w:p>
        </w:tc>
        <w:tc>
          <w:tcPr>
            <w:tcW w:w="854" w:type="dxa"/>
            <w:tcBorders/>
          </w:tcPr>
          <w:p>
            <w:pPr>
              <w:pStyle w:val="Normal"/>
              <w:widowControl w:val="false"/>
              <w:suppressAutoHyphens w:val="true"/>
              <w:spacing w:before="0" w:after="0"/>
              <w:jc w:val="center"/>
              <w:rPr>
                <w:color w:val="000000"/>
              </w:rPr>
            </w:pPr>
            <w:r>
              <w:rPr>
                <w:color w:val="000000"/>
                <w:sz w:val="20"/>
              </w:rPr>
              <w:t>14,2</w:t>
            </w:r>
          </w:p>
        </w:tc>
        <w:tc>
          <w:tcPr>
            <w:tcW w:w="726" w:type="dxa"/>
            <w:tcBorders/>
          </w:tcPr>
          <w:p>
            <w:pPr>
              <w:pStyle w:val="Normal"/>
              <w:widowControl w:val="false"/>
              <w:suppressAutoHyphens w:val="true"/>
              <w:spacing w:before="0" w:after="0"/>
              <w:jc w:val="center"/>
              <w:rPr>
                <w:color w:val="000000"/>
              </w:rPr>
            </w:pPr>
            <w:r>
              <w:rPr>
                <w:color w:val="000000"/>
                <w:kern w:val="0"/>
                <w:sz w:val="20"/>
                <w:szCs w:val="20"/>
                <w:lang w:val="ru-RU" w:bidi="ar-SA"/>
              </w:rPr>
              <w:t>9,6</w:t>
            </w:r>
          </w:p>
        </w:tc>
        <w:tc>
          <w:tcPr>
            <w:tcW w:w="647" w:type="dxa"/>
            <w:tcBorders/>
          </w:tcPr>
          <w:p>
            <w:pPr>
              <w:pStyle w:val="Normal"/>
              <w:widowControl w:val="false"/>
              <w:suppressAutoHyphens w:val="true"/>
              <w:spacing w:before="0" w:after="0"/>
              <w:jc w:val="center"/>
              <w:rPr>
                <w:color w:val="000000"/>
              </w:rPr>
            </w:pPr>
            <w:r>
              <w:rPr>
                <w:color w:val="000000"/>
                <w:kern w:val="0"/>
                <w:sz w:val="20"/>
                <w:szCs w:val="20"/>
                <w:lang w:val="ru-RU" w:bidi="ar-SA"/>
              </w:rPr>
              <w:t>3,6</w:t>
            </w:r>
          </w:p>
        </w:tc>
      </w:tr>
      <w:tr>
        <w:trPr/>
        <w:tc>
          <w:tcPr>
            <w:tcW w:w="1560" w:type="dxa"/>
            <w:tcBorders/>
            <w:vAlign w:val="center"/>
          </w:tcPr>
          <w:p>
            <w:pPr>
              <w:pStyle w:val="Normal"/>
              <w:widowControl w:val="false"/>
              <w:suppressAutoHyphens w:val="true"/>
              <w:spacing w:before="0" w:after="0"/>
              <w:jc w:val="center"/>
              <w:rPr>
                <w:color w:val="000000"/>
              </w:rPr>
            </w:pPr>
            <w:r>
              <w:rPr>
                <w:color w:val="000000"/>
                <w:kern w:val="0"/>
                <w:sz w:val="18"/>
                <w:szCs w:val="18"/>
                <w:lang w:val="ru-RU" w:bidi="ar-SA"/>
              </w:rPr>
              <w:t> </w:t>
            </w:r>
            <w:r>
              <w:rPr>
                <w:color w:val="000000"/>
                <w:kern w:val="0"/>
                <w:sz w:val="18"/>
                <w:szCs w:val="18"/>
                <w:lang w:val="ru-RU" w:bidi="ar-SA"/>
              </w:rPr>
              <w:t>Межбюджетные трансферты</w:t>
            </w:r>
          </w:p>
        </w:tc>
        <w:tc>
          <w:tcPr>
            <w:tcW w:w="992" w:type="dxa"/>
            <w:tcBorders/>
          </w:tcPr>
          <w:p>
            <w:pPr>
              <w:pStyle w:val="Normal"/>
              <w:widowControl w:val="false"/>
              <w:suppressAutoHyphens w:val="true"/>
              <w:spacing w:before="0" w:after="0"/>
              <w:jc w:val="center"/>
              <w:rPr>
                <w:color w:val="000000"/>
              </w:rPr>
            </w:pPr>
            <w:r>
              <w:rPr>
                <w:color w:val="000000"/>
                <w:kern w:val="0"/>
                <w:sz w:val="20"/>
                <w:szCs w:val="20"/>
                <w:lang w:val="en-US" w:bidi="ar-SA"/>
              </w:rPr>
              <w:t>3 154,0</w:t>
            </w:r>
          </w:p>
        </w:tc>
        <w:tc>
          <w:tcPr>
            <w:tcW w:w="991" w:type="dxa"/>
            <w:tcBorders/>
          </w:tcPr>
          <w:p>
            <w:pPr>
              <w:pStyle w:val="Normal"/>
              <w:widowControl w:val="false"/>
              <w:suppressAutoHyphens w:val="true"/>
              <w:spacing w:before="0" w:after="0"/>
              <w:jc w:val="center"/>
              <w:rPr>
                <w:color w:val="000000"/>
              </w:rPr>
            </w:pPr>
            <w:r>
              <w:rPr>
                <w:color w:val="000000"/>
                <w:kern w:val="0"/>
                <w:sz w:val="20"/>
                <w:szCs w:val="20"/>
                <w:lang w:val="ru-RU" w:bidi="ar-SA"/>
              </w:rPr>
              <w:t>1350,4</w:t>
            </w:r>
          </w:p>
        </w:tc>
        <w:tc>
          <w:tcPr>
            <w:tcW w:w="947" w:type="dxa"/>
            <w:tcBorders/>
          </w:tcPr>
          <w:p>
            <w:pPr>
              <w:pStyle w:val="Normal"/>
              <w:widowControl w:val="false"/>
              <w:suppressAutoHyphens w:val="true"/>
              <w:spacing w:before="0" w:after="0"/>
              <w:jc w:val="left"/>
              <w:rPr>
                <w:color w:val="000000"/>
              </w:rPr>
            </w:pPr>
            <w:r>
              <w:rPr>
                <w:color w:val="000000"/>
                <w:kern w:val="0"/>
                <w:sz w:val="20"/>
                <w:szCs w:val="20"/>
                <w:lang w:val="ru-RU" w:bidi="ar-SA"/>
              </w:rPr>
              <w:t>1350,4</w:t>
            </w:r>
          </w:p>
        </w:tc>
        <w:tc>
          <w:tcPr>
            <w:tcW w:w="908" w:type="dxa"/>
            <w:tcBorders/>
          </w:tcPr>
          <w:p>
            <w:pPr>
              <w:pStyle w:val="Normal"/>
              <w:widowControl w:val="false"/>
              <w:suppressAutoHyphens w:val="true"/>
              <w:spacing w:before="0" w:after="0"/>
              <w:jc w:val="left"/>
              <w:rPr>
                <w:color w:val="000000"/>
              </w:rPr>
            </w:pPr>
            <w:r>
              <w:rPr>
                <w:color w:val="000000"/>
                <w:kern w:val="0"/>
                <w:sz w:val="20"/>
                <w:szCs w:val="20"/>
                <w:lang w:val="ru-RU" w:bidi="ar-SA"/>
              </w:rPr>
              <w:t>1350,4</w:t>
            </w:r>
          </w:p>
        </w:tc>
        <w:tc>
          <w:tcPr>
            <w:tcW w:w="847" w:type="dxa"/>
            <w:tcBorders/>
          </w:tcPr>
          <w:p>
            <w:pPr>
              <w:pStyle w:val="Normal"/>
              <w:widowControl w:val="false"/>
              <w:suppressAutoHyphens w:val="true"/>
              <w:spacing w:before="0" w:after="0"/>
              <w:jc w:val="center"/>
              <w:rPr>
                <w:color w:val="000000"/>
              </w:rPr>
            </w:pPr>
            <w:r>
              <w:rPr>
                <w:color w:val="000000"/>
                <w:sz w:val="20"/>
              </w:rPr>
              <w:t>-1803,6</w:t>
            </w:r>
          </w:p>
        </w:tc>
        <w:tc>
          <w:tcPr>
            <w:tcW w:w="856" w:type="dxa"/>
            <w:tcBorders/>
          </w:tcPr>
          <w:p>
            <w:pPr>
              <w:pStyle w:val="Normal"/>
              <w:widowControl w:val="false"/>
              <w:suppressAutoHyphens w:val="true"/>
              <w:spacing w:before="0" w:after="0"/>
              <w:jc w:val="center"/>
              <w:rPr>
                <w:color w:val="000000"/>
              </w:rPr>
            </w:pPr>
            <w:r>
              <w:rPr>
                <w:color w:val="000000"/>
                <w:kern w:val="0"/>
                <w:sz w:val="20"/>
                <w:szCs w:val="20"/>
                <w:lang w:val="ru-RU" w:bidi="ar-SA"/>
              </w:rPr>
              <w:t>0,0</w:t>
            </w:r>
          </w:p>
        </w:tc>
        <w:tc>
          <w:tcPr>
            <w:tcW w:w="990" w:type="dxa"/>
            <w:tcBorders/>
          </w:tcPr>
          <w:p>
            <w:pPr>
              <w:pStyle w:val="Normal"/>
              <w:widowControl w:val="false"/>
              <w:suppressAutoHyphens w:val="true"/>
              <w:spacing w:before="0" w:after="0"/>
              <w:jc w:val="center"/>
              <w:rPr>
                <w:color w:val="000000"/>
              </w:rPr>
            </w:pPr>
            <w:r>
              <w:rPr>
                <w:color w:val="000000"/>
                <w:kern w:val="0"/>
                <w:sz w:val="20"/>
                <w:szCs w:val="20"/>
                <w:lang w:val="ru-RU" w:bidi="ar-SA"/>
              </w:rPr>
              <w:t>0,0</w:t>
            </w:r>
          </w:p>
        </w:tc>
        <w:tc>
          <w:tcPr>
            <w:tcW w:w="854" w:type="dxa"/>
            <w:tcBorders/>
          </w:tcPr>
          <w:p>
            <w:pPr>
              <w:pStyle w:val="Normal"/>
              <w:widowControl w:val="false"/>
              <w:suppressAutoHyphens w:val="true"/>
              <w:spacing w:before="0" w:after="0"/>
              <w:jc w:val="center"/>
              <w:rPr>
                <w:color w:val="000000"/>
              </w:rPr>
            </w:pPr>
            <w:r>
              <w:rPr>
                <w:color w:val="000000"/>
                <w:sz w:val="20"/>
              </w:rPr>
              <w:t>-57,2</w:t>
            </w:r>
          </w:p>
        </w:tc>
        <w:tc>
          <w:tcPr>
            <w:tcW w:w="726" w:type="dxa"/>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c>
          <w:tcPr>
            <w:tcW w:w="647" w:type="dxa"/>
            <w:tcBorders/>
          </w:tcPr>
          <w:p>
            <w:pPr>
              <w:pStyle w:val="Normal"/>
              <w:widowControl w:val="false"/>
              <w:suppressAutoHyphens w:val="true"/>
              <w:spacing w:before="0" w:after="0"/>
              <w:jc w:val="center"/>
              <w:rPr>
                <w:color w:val="000000"/>
              </w:rPr>
            </w:pPr>
            <w:r>
              <w:rPr>
                <w:color w:val="000000"/>
                <w:kern w:val="0"/>
                <w:sz w:val="20"/>
                <w:szCs w:val="20"/>
                <w:lang w:val="ru-RU" w:bidi="ar-SA"/>
              </w:rPr>
              <w:t>-</w:t>
            </w:r>
          </w:p>
        </w:tc>
      </w:tr>
      <w:tr>
        <w:trPr/>
        <w:tc>
          <w:tcPr>
            <w:tcW w:w="1560" w:type="dxa"/>
            <w:tcBorders/>
          </w:tcPr>
          <w:p>
            <w:pPr>
              <w:pStyle w:val="Normal"/>
              <w:widowControl w:val="false"/>
              <w:suppressAutoHyphens w:val="true"/>
              <w:spacing w:before="0" w:after="0"/>
              <w:jc w:val="center"/>
              <w:rPr>
                <w:color w:val="000000"/>
              </w:rPr>
            </w:pPr>
            <w:r>
              <w:rPr>
                <w:color w:val="000000"/>
                <w:kern w:val="0"/>
                <w:sz w:val="20"/>
                <w:szCs w:val="20"/>
                <w:lang w:val="ru-RU" w:bidi="ar-SA"/>
              </w:rPr>
              <w:t>Прочие безвозм.</w:t>
            </w:r>
          </w:p>
        </w:tc>
        <w:tc>
          <w:tcPr>
            <w:tcW w:w="992" w:type="dxa"/>
            <w:tcBorders/>
          </w:tcPr>
          <w:p>
            <w:pPr>
              <w:pStyle w:val="Normal"/>
              <w:widowControl w:val="false"/>
              <w:suppressAutoHyphens w:val="true"/>
              <w:spacing w:before="0" w:after="0"/>
              <w:jc w:val="center"/>
              <w:rPr>
                <w:color w:val="000000"/>
              </w:rPr>
            </w:pPr>
            <w:r>
              <w:rPr>
                <w:color w:val="000000"/>
                <w:sz w:val="20"/>
                <w:szCs w:val="20"/>
              </w:rPr>
              <w:t>24,0</w:t>
            </w:r>
          </w:p>
        </w:tc>
        <w:tc>
          <w:tcPr>
            <w:tcW w:w="991" w:type="dxa"/>
            <w:tcBorders/>
          </w:tcPr>
          <w:p>
            <w:pPr>
              <w:pStyle w:val="Normal"/>
              <w:widowControl w:val="false"/>
              <w:suppressAutoHyphens w:val="true"/>
              <w:spacing w:before="0" w:after="0"/>
              <w:jc w:val="center"/>
              <w:rPr>
                <w:color w:val="000000"/>
              </w:rPr>
            </w:pPr>
            <w:r>
              <w:rPr>
                <w:color w:val="000000"/>
                <w:sz w:val="20"/>
              </w:rPr>
              <w:t>-</w:t>
            </w:r>
          </w:p>
        </w:tc>
        <w:tc>
          <w:tcPr>
            <w:tcW w:w="947" w:type="dxa"/>
            <w:tcBorders/>
          </w:tcPr>
          <w:p>
            <w:pPr>
              <w:pStyle w:val="Normal"/>
              <w:widowControl w:val="false"/>
              <w:suppressAutoHyphens w:val="true"/>
              <w:spacing w:before="0" w:after="0"/>
              <w:jc w:val="center"/>
              <w:rPr>
                <w:color w:val="000000"/>
              </w:rPr>
            </w:pPr>
            <w:r>
              <w:rPr>
                <w:color w:val="000000"/>
                <w:sz w:val="20"/>
              </w:rPr>
              <w:t>-</w:t>
            </w:r>
          </w:p>
        </w:tc>
        <w:tc>
          <w:tcPr>
            <w:tcW w:w="908" w:type="dxa"/>
            <w:tcBorders/>
          </w:tcPr>
          <w:p>
            <w:pPr>
              <w:pStyle w:val="Normal"/>
              <w:widowControl w:val="false"/>
              <w:suppressAutoHyphens w:val="true"/>
              <w:spacing w:before="0" w:after="0"/>
              <w:jc w:val="center"/>
              <w:rPr>
                <w:color w:val="000000"/>
              </w:rPr>
            </w:pPr>
            <w:r>
              <w:rPr>
                <w:color w:val="000000"/>
                <w:sz w:val="20"/>
              </w:rPr>
              <w:t>-</w:t>
            </w:r>
          </w:p>
        </w:tc>
        <w:tc>
          <w:tcPr>
            <w:tcW w:w="847" w:type="dxa"/>
            <w:tcBorders/>
          </w:tcPr>
          <w:p>
            <w:pPr>
              <w:pStyle w:val="Normal"/>
              <w:widowControl w:val="false"/>
              <w:suppressAutoHyphens w:val="true"/>
              <w:spacing w:before="0" w:after="0"/>
              <w:jc w:val="center"/>
              <w:rPr>
                <w:color w:val="000000"/>
              </w:rPr>
            </w:pPr>
            <w:r>
              <w:rPr>
                <w:color w:val="000000"/>
                <w:sz w:val="20"/>
                <w:szCs w:val="20"/>
              </w:rPr>
              <w:t>-24,0</w:t>
            </w:r>
          </w:p>
          <w:p>
            <w:pPr>
              <w:pStyle w:val="Normal"/>
              <w:widowControl w:val="false"/>
              <w:suppressAutoHyphens w:val="true"/>
              <w:spacing w:before="0" w:after="0"/>
              <w:jc w:val="center"/>
              <w:rPr>
                <w:color w:val="000000"/>
                <w:sz w:val="20"/>
                <w:szCs w:val="20"/>
              </w:rPr>
            </w:pPr>
            <w:r>
              <w:rPr>
                <w:color w:val="000000"/>
                <w:sz w:val="20"/>
                <w:szCs w:val="20"/>
              </w:rPr>
            </w:r>
          </w:p>
        </w:tc>
        <w:tc>
          <w:tcPr>
            <w:tcW w:w="856" w:type="dxa"/>
            <w:tcBorders/>
          </w:tcPr>
          <w:p>
            <w:pPr>
              <w:pStyle w:val="Normal"/>
              <w:widowControl w:val="false"/>
              <w:suppressAutoHyphens w:val="true"/>
              <w:spacing w:before="0" w:after="0"/>
              <w:jc w:val="center"/>
              <w:rPr>
                <w:color w:val="000000"/>
              </w:rPr>
            </w:pPr>
            <w:r>
              <w:rPr>
                <w:color w:val="000000"/>
                <w:sz w:val="20"/>
                <w:szCs w:val="20"/>
              </w:rPr>
              <w:t>-</w:t>
            </w:r>
          </w:p>
        </w:tc>
        <w:tc>
          <w:tcPr>
            <w:tcW w:w="990" w:type="dxa"/>
            <w:tcBorders/>
          </w:tcPr>
          <w:p>
            <w:pPr>
              <w:pStyle w:val="Normal"/>
              <w:widowControl w:val="false"/>
              <w:suppressAutoHyphens w:val="true"/>
              <w:spacing w:before="0" w:after="0"/>
              <w:jc w:val="center"/>
              <w:rPr>
                <w:color w:val="000000"/>
              </w:rPr>
            </w:pPr>
            <w:r>
              <w:rPr>
                <w:color w:val="000000"/>
                <w:sz w:val="20"/>
                <w:szCs w:val="20"/>
              </w:rPr>
              <w:t>-</w:t>
            </w:r>
          </w:p>
        </w:tc>
        <w:tc>
          <w:tcPr>
            <w:tcW w:w="854" w:type="dxa"/>
            <w:tcBorders/>
          </w:tcPr>
          <w:p>
            <w:pPr>
              <w:pStyle w:val="Normal"/>
              <w:widowControl w:val="false"/>
              <w:suppressAutoHyphens w:val="true"/>
              <w:spacing w:before="0" w:after="0"/>
              <w:jc w:val="center"/>
              <w:rPr>
                <w:color w:val="000000"/>
              </w:rPr>
            </w:pPr>
            <w:r>
              <w:rPr>
                <w:color w:val="000000"/>
                <w:sz w:val="20"/>
                <w:szCs w:val="20"/>
              </w:rPr>
              <w:t>-100</w:t>
            </w:r>
          </w:p>
        </w:tc>
        <w:tc>
          <w:tcPr>
            <w:tcW w:w="726" w:type="dxa"/>
            <w:tcBorders/>
          </w:tcPr>
          <w:p>
            <w:pPr>
              <w:pStyle w:val="Normal"/>
              <w:widowControl w:val="false"/>
              <w:suppressAutoHyphens w:val="true"/>
              <w:spacing w:before="0" w:after="0"/>
              <w:jc w:val="center"/>
              <w:rPr>
                <w:color w:val="000000"/>
              </w:rPr>
            </w:pPr>
            <w:r>
              <w:rPr>
                <w:color w:val="000000"/>
                <w:sz w:val="20"/>
              </w:rPr>
              <w:t>-</w:t>
            </w:r>
          </w:p>
        </w:tc>
        <w:tc>
          <w:tcPr>
            <w:tcW w:w="647" w:type="dxa"/>
            <w:tcBorders/>
          </w:tcPr>
          <w:p>
            <w:pPr>
              <w:pStyle w:val="Normal"/>
              <w:widowControl w:val="false"/>
              <w:suppressAutoHyphens w:val="true"/>
              <w:spacing w:before="0" w:after="0"/>
              <w:jc w:val="center"/>
              <w:rPr>
                <w:color w:val="000000"/>
              </w:rPr>
            </w:pPr>
            <w:r>
              <w:rPr>
                <w:color w:val="000000"/>
                <w:sz w:val="20"/>
              </w:rPr>
              <w:t>-</w:t>
            </w:r>
          </w:p>
        </w:tc>
      </w:tr>
      <w:tr>
        <w:trPr/>
        <w:tc>
          <w:tcPr>
            <w:tcW w:w="1560" w:type="dxa"/>
            <w:tcBorders>
              <w:top w:val="nil"/>
            </w:tcBorders>
          </w:tcPr>
          <w:p>
            <w:pPr>
              <w:pStyle w:val="Normal"/>
              <w:widowControl w:val="false"/>
              <w:suppressAutoHyphens w:val="true"/>
              <w:spacing w:before="0" w:after="0"/>
              <w:jc w:val="center"/>
              <w:rPr>
                <w:color w:val="000000"/>
              </w:rPr>
            </w:pPr>
            <w:r>
              <w:rPr>
                <w:color w:val="000000"/>
                <w:kern w:val="0"/>
                <w:sz w:val="20"/>
                <w:szCs w:val="20"/>
                <w:lang w:val="ru-RU" w:bidi="ar-SA"/>
              </w:rPr>
              <w:t>Итого:</w:t>
            </w:r>
          </w:p>
        </w:tc>
        <w:tc>
          <w:tcPr>
            <w:tcW w:w="992" w:type="dxa"/>
            <w:tcBorders>
              <w:top w:val="nil"/>
            </w:tcBorders>
          </w:tcPr>
          <w:p>
            <w:pPr>
              <w:pStyle w:val="Normal"/>
              <w:widowControl w:val="false"/>
              <w:suppressAutoHyphens w:val="true"/>
              <w:spacing w:before="0" w:after="0"/>
              <w:jc w:val="center"/>
              <w:rPr>
                <w:color w:val="000000"/>
              </w:rPr>
            </w:pPr>
            <w:r>
              <w:rPr>
                <w:color w:val="000000"/>
                <w:kern w:val="0"/>
                <w:sz w:val="20"/>
                <w:szCs w:val="20"/>
                <w:lang w:val="ru-RU" w:bidi="ar-SA"/>
              </w:rPr>
              <w:t>17  153,5</w:t>
            </w:r>
          </w:p>
        </w:tc>
        <w:tc>
          <w:tcPr>
            <w:tcW w:w="991" w:type="dxa"/>
            <w:tcBorders>
              <w:top w:val="nil"/>
            </w:tcBorders>
          </w:tcPr>
          <w:p>
            <w:pPr>
              <w:pStyle w:val="Normal"/>
              <w:widowControl w:val="false"/>
              <w:suppressAutoHyphens w:val="true"/>
              <w:spacing w:before="0" w:after="0"/>
              <w:jc w:val="center"/>
              <w:rPr>
                <w:color w:val="000000"/>
              </w:rPr>
            </w:pPr>
            <w:r>
              <w:rPr>
                <w:color w:val="000000"/>
                <w:kern w:val="0"/>
                <w:sz w:val="20"/>
                <w:szCs w:val="20"/>
                <w:lang w:val="ru-RU" w:bidi="ar-SA"/>
              </w:rPr>
              <w:t>14598,4</w:t>
            </w:r>
          </w:p>
        </w:tc>
        <w:tc>
          <w:tcPr>
            <w:tcW w:w="947" w:type="dxa"/>
            <w:tcBorders>
              <w:top w:val="nil"/>
            </w:tcBorders>
          </w:tcPr>
          <w:p>
            <w:pPr>
              <w:pStyle w:val="Normal"/>
              <w:widowControl w:val="false"/>
              <w:suppressAutoHyphens w:val="true"/>
              <w:spacing w:before="0" w:after="0"/>
              <w:jc w:val="center"/>
              <w:rPr>
                <w:color w:val="000000"/>
              </w:rPr>
            </w:pPr>
            <w:r>
              <w:rPr>
                <w:color w:val="000000"/>
                <w:kern w:val="0"/>
                <w:sz w:val="20"/>
                <w:szCs w:val="20"/>
                <w:lang w:val="ru-RU" w:bidi="ar-SA"/>
              </w:rPr>
              <w:t>11662,4</w:t>
            </w:r>
          </w:p>
        </w:tc>
        <w:tc>
          <w:tcPr>
            <w:tcW w:w="908" w:type="dxa"/>
            <w:tcBorders>
              <w:top w:val="nil"/>
            </w:tcBorders>
          </w:tcPr>
          <w:p>
            <w:pPr>
              <w:pStyle w:val="Normal"/>
              <w:widowControl w:val="false"/>
              <w:suppressAutoHyphens w:val="true"/>
              <w:spacing w:before="0" w:after="0"/>
              <w:jc w:val="center"/>
              <w:rPr>
                <w:color w:val="000000"/>
              </w:rPr>
            </w:pPr>
            <w:r>
              <w:rPr>
                <w:color w:val="000000"/>
                <w:kern w:val="0"/>
                <w:sz w:val="20"/>
                <w:szCs w:val="20"/>
                <w:lang w:val="ru-RU" w:bidi="ar-SA"/>
              </w:rPr>
              <w:t>10155,1</w:t>
            </w:r>
          </w:p>
        </w:tc>
        <w:tc>
          <w:tcPr>
            <w:tcW w:w="847" w:type="dxa"/>
            <w:tcBorders>
              <w:top w:val="nil"/>
            </w:tcBorders>
          </w:tcPr>
          <w:p>
            <w:pPr>
              <w:pStyle w:val="Normal"/>
              <w:widowControl w:val="false"/>
              <w:suppressAutoHyphens w:val="true"/>
              <w:spacing w:before="0" w:after="0"/>
              <w:jc w:val="center"/>
              <w:rPr>
                <w:color w:val="000000"/>
              </w:rPr>
            </w:pPr>
            <w:r>
              <w:rPr>
                <w:color w:val="000000"/>
                <w:kern w:val="0"/>
                <w:sz w:val="20"/>
                <w:szCs w:val="20"/>
                <w:lang w:val="ru-RU" w:bidi="ar-SA"/>
              </w:rPr>
              <w:t>-2575,3</w:t>
            </w:r>
          </w:p>
        </w:tc>
        <w:tc>
          <w:tcPr>
            <w:tcW w:w="856" w:type="dxa"/>
            <w:tcBorders>
              <w:top w:val="nil"/>
            </w:tcBorders>
          </w:tcPr>
          <w:p>
            <w:pPr>
              <w:pStyle w:val="Normal"/>
              <w:widowControl w:val="false"/>
              <w:suppressAutoHyphens w:val="true"/>
              <w:spacing w:before="0" w:after="0"/>
              <w:jc w:val="center"/>
              <w:rPr>
                <w:color w:val="000000"/>
              </w:rPr>
            </w:pPr>
            <w:r>
              <w:rPr>
                <w:color w:val="000000"/>
                <w:kern w:val="0"/>
                <w:sz w:val="20"/>
                <w:szCs w:val="20"/>
                <w:lang w:val="ru-RU" w:bidi="ar-SA"/>
              </w:rPr>
              <w:t>-2936,0</w:t>
            </w:r>
          </w:p>
        </w:tc>
        <w:tc>
          <w:tcPr>
            <w:tcW w:w="990" w:type="dxa"/>
            <w:tcBorders>
              <w:top w:val="nil"/>
            </w:tcBorders>
          </w:tcPr>
          <w:p>
            <w:pPr>
              <w:pStyle w:val="Normal"/>
              <w:widowControl w:val="false"/>
              <w:suppressAutoHyphens w:val="true"/>
              <w:spacing w:before="0" w:after="0"/>
              <w:jc w:val="center"/>
              <w:rPr>
                <w:color w:val="000000"/>
              </w:rPr>
            </w:pPr>
            <w:r>
              <w:rPr>
                <w:color w:val="000000"/>
                <w:kern w:val="0"/>
                <w:sz w:val="20"/>
                <w:szCs w:val="20"/>
                <w:lang w:val="en-US" w:bidi="ar-SA"/>
              </w:rPr>
              <w:t>-</w:t>
            </w:r>
            <w:r>
              <w:rPr>
                <w:color w:val="000000"/>
                <w:kern w:val="0"/>
                <w:sz w:val="20"/>
                <w:szCs w:val="20"/>
                <w:lang w:val="ru-RU" w:bidi="ar-SA"/>
              </w:rPr>
              <w:t>1507,3</w:t>
            </w:r>
          </w:p>
        </w:tc>
        <w:tc>
          <w:tcPr>
            <w:tcW w:w="854" w:type="dxa"/>
            <w:tcBorders>
              <w:top w:val="nil"/>
            </w:tcBorders>
          </w:tcPr>
          <w:p>
            <w:pPr>
              <w:pStyle w:val="Normal"/>
              <w:widowControl w:val="false"/>
              <w:suppressAutoHyphens w:val="true"/>
              <w:spacing w:before="0" w:after="0"/>
              <w:jc w:val="center"/>
              <w:rPr>
                <w:color w:val="000000"/>
              </w:rPr>
            </w:pPr>
            <w:r>
              <w:rPr>
                <w:color w:val="000000"/>
                <w:kern w:val="0"/>
                <w:sz w:val="20"/>
                <w:szCs w:val="20"/>
                <w:lang w:val="ru-RU" w:bidi="ar-SA"/>
              </w:rPr>
              <w:t>-15,0</w:t>
            </w:r>
          </w:p>
        </w:tc>
        <w:tc>
          <w:tcPr>
            <w:tcW w:w="726" w:type="dxa"/>
            <w:tcBorders>
              <w:top w:val="nil"/>
            </w:tcBorders>
          </w:tcPr>
          <w:p>
            <w:pPr>
              <w:pStyle w:val="Normal"/>
              <w:widowControl w:val="false"/>
              <w:suppressAutoHyphens w:val="true"/>
              <w:spacing w:before="0" w:after="0"/>
              <w:jc w:val="center"/>
              <w:rPr>
                <w:color w:val="000000"/>
              </w:rPr>
            </w:pPr>
            <w:r>
              <w:rPr>
                <w:color w:val="000000"/>
                <w:kern w:val="0"/>
                <w:sz w:val="20"/>
                <w:szCs w:val="20"/>
                <w:lang w:val="ru-RU" w:bidi="ar-SA"/>
              </w:rPr>
              <w:t>-20,0</w:t>
            </w:r>
          </w:p>
        </w:tc>
        <w:tc>
          <w:tcPr>
            <w:tcW w:w="647" w:type="dxa"/>
            <w:tcBorders>
              <w:top w:val="nil"/>
            </w:tcBorders>
          </w:tcPr>
          <w:p>
            <w:pPr>
              <w:pStyle w:val="Normal"/>
              <w:widowControl w:val="false"/>
              <w:suppressAutoHyphens w:val="true"/>
              <w:spacing w:before="0" w:after="0"/>
              <w:jc w:val="center"/>
              <w:rPr>
                <w:color w:val="000000"/>
              </w:rPr>
            </w:pPr>
            <w:r>
              <w:rPr>
                <w:color w:val="000000"/>
                <w:kern w:val="0"/>
                <w:sz w:val="20"/>
                <w:szCs w:val="20"/>
                <w:lang w:val="ru-RU" w:bidi="ar-SA"/>
              </w:rPr>
              <w:t>-12,9</w:t>
            </w:r>
          </w:p>
        </w:tc>
      </w:tr>
    </w:tbl>
    <w:p>
      <w:pPr>
        <w:pStyle w:val="Normal"/>
        <w:ind w:firstLine="708"/>
        <w:jc w:val="both"/>
        <w:rPr>
          <w:color w:val="000000"/>
          <w:sz w:val="18"/>
          <w:szCs w:val="18"/>
        </w:rPr>
      </w:pPr>
      <w:r>
        <w:rPr>
          <w:color w:val="000000"/>
          <w:sz w:val="18"/>
          <w:szCs w:val="18"/>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b/>
          <w:b/>
          <w:sz w:val="28"/>
          <w:szCs w:val="28"/>
        </w:rPr>
      </w:pPr>
      <w:r>
        <w:rPr>
          <w:b/>
          <w:sz w:val="28"/>
          <w:szCs w:val="28"/>
        </w:rPr>
      </w:r>
    </w:p>
    <w:p>
      <w:pPr>
        <w:pStyle w:val="Normal"/>
        <w:jc w:val="center"/>
        <w:rPr>
          <w:color w:val="000000"/>
        </w:rPr>
      </w:pPr>
      <w:r>
        <w:rPr>
          <w:b/>
          <w:color w:val="000000"/>
          <w:sz w:val="28"/>
          <w:szCs w:val="28"/>
        </w:rPr>
        <w:t>Налог на доходы физических лиц</w:t>
      </w:r>
    </w:p>
    <w:p>
      <w:pPr>
        <w:pStyle w:val="Style21"/>
        <w:jc w:val="both"/>
        <w:rPr>
          <w:color w:val="000000"/>
        </w:rPr>
      </w:pPr>
      <w:r>
        <w:rPr>
          <w:color w:val="000000"/>
          <w:szCs w:val="28"/>
        </w:rPr>
        <w:t xml:space="preserve">     </w:t>
      </w:r>
      <w:r>
        <w:rPr>
          <w:color w:val="000000"/>
          <w:szCs w:val="28"/>
        </w:rPr>
        <w:t>Доля налога на доходы физических лиц в структуре прогноза собственных доходов в бюджете Порздневского сельского поселения на 2025 год составляет 57,8%.</w:t>
      </w:r>
    </w:p>
    <w:p>
      <w:pPr>
        <w:pStyle w:val="2"/>
        <w:rPr>
          <w:color w:val="000000"/>
        </w:rPr>
      </w:pPr>
      <w:r>
        <w:rPr>
          <w:color w:val="000000"/>
          <w:szCs w:val="28"/>
        </w:rPr>
        <w:t>Расчет поступлений в местный бюджет в 2024 году доходов от налога на доходы физических лиц произведен исходя из налоговой базы по налогу на доходы физических лиц по данным,  представляемых УФНС по Ивановской области и руководствуясь главой 23 Федерального Закона от 31.07.1988 №146-ФЗ «Налоговый кодекс Российской Федерации» и ст.1 п.1.1 Закона Ивановской области  от 10.10.2005 № 121-ОЗ  "Об установлении нормативов отчислений в местные бюджеты от отдельных Федеральных налогов и сборов, налогов, предусмотренных специальными налоговыми режимами".</w:t>
      </w:r>
    </w:p>
    <w:p>
      <w:pPr>
        <w:pStyle w:val="Style21"/>
        <w:ind w:firstLine="567"/>
        <w:jc w:val="both"/>
        <w:rPr>
          <w:color w:val="000000"/>
        </w:rPr>
      </w:pPr>
      <w:r>
        <w:rPr>
          <w:color w:val="000000"/>
          <w:szCs w:val="28"/>
        </w:rPr>
        <w:t xml:space="preserve">Прогнозируемое поступление по налогу на доходы физических лиц при нормативе отчислений в бюджет Порздневского сельского поселения в размере 5% составит в 2025 году 192 600,00 рублей.  </w:t>
      </w:r>
    </w:p>
    <w:p>
      <w:pPr>
        <w:pStyle w:val="NoSpacing"/>
        <w:ind w:firstLine="561"/>
        <w:jc w:val="both"/>
        <w:rPr>
          <w:color w:val="000000"/>
        </w:rPr>
      </w:pPr>
      <w:r>
        <w:rPr>
          <w:color w:val="000000"/>
          <w:sz w:val="28"/>
          <w:szCs w:val="28"/>
        </w:rPr>
        <w:t xml:space="preserve">Ожидаемое поступление в бюджет Порздневского сельского поселения налога на доходы физических лиц в 2024 году составит 160 100,00 рублей.  </w:t>
      </w:r>
    </w:p>
    <w:p>
      <w:pPr>
        <w:pStyle w:val="NoSpacing"/>
        <w:ind w:firstLine="561"/>
        <w:jc w:val="center"/>
        <w:rPr>
          <w:color w:val="000000"/>
        </w:rPr>
      </w:pPr>
      <w:r>
        <w:rPr>
          <w:b/>
          <w:color w:val="000000"/>
          <w:sz w:val="28"/>
          <w:szCs w:val="28"/>
        </w:rPr>
        <w:t>Налоги на совокупный доход</w:t>
      </w:r>
    </w:p>
    <w:p>
      <w:pPr>
        <w:pStyle w:val="Style21"/>
        <w:jc w:val="both"/>
        <w:rPr>
          <w:color w:val="000000"/>
        </w:rPr>
      </w:pPr>
      <w:r>
        <w:rPr>
          <w:color w:val="000000"/>
          <w:szCs w:val="28"/>
        </w:rPr>
        <w:t xml:space="preserve">     </w:t>
      </w:r>
      <w:r>
        <w:rPr>
          <w:color w:val="000000"/>
          <w:szCs w:val="28"/>
        </w:rPr>
        <w:t>Поступлений от единого сельскохозяйственного налога в 2024 году не ожидается и не прогнозируется в 2025-2027г.г.</w:t>
      </w:r>
    </w:p>
    <w:p>
      <w:pPr>
        <w:pStyle w:val="Normal"/>
        <w:numPr>
          <w:ilvl w:val="0"/>
          <w:numId w:val="0"/>
        </w:numPr>
        <w:ind w:left="0" w:firstLine="567"/>
        <w:jc w:val="center"/>
        <w:outlineLvl w:val="1"/>
        <w:rPr>
          <w:color w:val="000000"/>
        </w:rPr>
      </w:pPr>
      <w:r>
        <w:rPr>
          <w:b/>
          <w:color w:val="000000"/>
          <w:sz w:val="28"/>
          <w:szCs w:val="28"/>
        </w:rPr>
        <w:t>Налоги на имущество</w:t>
      </w:r>
    </w:p>
    <w:p>
      <w:pPr>
        <w:pStyle w:val="NoSpacing"/>
        <w:jc w:val="both"/>
        <w:rPr>
          <w:color w:val="000000"/>
        </w:rPr>
      </w:pPr>
      <w:r>
        <w:rPr>
          <w:color w:val="000000"/>
          <w:sz w:val="28"/>
          <w:szCs w:val="28"/>
        </w:rPr>
        <w:t xml:space="preserve">     </w:t>
      </w:r>
      <w:r>
        <w:rPr>
          <w:color w:val="000000"/>
          <w:sz w:val="28"/>
          <w:szCs w:val="28"/>
        </w:rPr>
        <w:t xml:space="preserve">Налоги на имущество в структуре прогноза собственных доходов в бюджете Порздневского сельского поселения на 2025 год занимают 28,8%, на 2026-2027г.г.- 33,3% </w:t>
      </w:r>
      <w:r>
        <w:rPr>
          <w:color w:val="000000"/>
          <w:sz w:val="28"/>
          <w:szCs w:val="28"/>
          <w:lang w:val="ru-RU"/>
        </w:rPr>
        <w:t>соответственно</w:t>
      </w:r>
      <w:r>
        <w:rPr>
          <w:color w:val="000000"/>
          <w:sz w:val="28"/>
          <w:szCs w:val="28"/>
        </w:rPr>
        <w:t>.</w:t>
      </w:r>
    </w:p>
    <w:p>
      <w:pPr>
        <w:pStyle w:val="Normal"/>
        <w:spacing w:before="0" w:after="0"/>
        <w:contextualSpacing/>
        <w:jc w:val="both"/>
        <w:rPr>
          <w:color w:val="000000"/>
        </w:rPr>
      </w:pPr>
      <w:r>
        <w:rPr>
          <w:color w:val="000000"/>
          <w:sz w:val="28"/>
          <w:szCs w:val="28"/>
        </w:rPr>
        <w:t xml:space="preserve">     </w:t>
      </w:r>
      <w:r>
        <w:rPr>
          <w:color w:val="000000"/>
          <w:sz w:val="28"/>
          <w:szCs w:val="28"/>
        </w:rPr>
        <w:t>На 2025-2027г.г.  поступление налогов на имущество заложено в проекте бюджета в сумме 96 000,00 руб. ежегодно,  в том числе: поступление налога на имущество физических лиц в сумме 10 000,0  руб. ежегодно, земельный налог с организаций в сумме 6 000,0 руб., земельный налог с физических лиц – 80 000,0  руб. ежегодно.</w:t>
      </w:r>
    </w:p>
    <w:p>
      <w:pPr>
        <w:pStyle w:val="Normal"/>
        <w:jc w:val="both"/>
        <w:rPr>
          <w:color w:val="000000"/>
        </w:rPr>
      </w:pPr>
      <w:r>
        <w:rPr>
          <w:color w:val="000000"/>
          <w:lang w:eastAsia="en-US"/>
        </w:rPr>
        <w:t xml:space="preserve">   </w:t>
      </w:r>
      <w:r>
        <w:rPr>
          <w:color w:val="000000"/>
          <w:sz w:val="28"/>
          <w:szCs w:val="28"/>
        </w:rPr>
        <w:t xml:space="preserve">   </w:t>
      </w:r>
      <w:r>
        <w:rPr>
          <w:color w:val="000000"/>
          <w:sz w:val="28"/>
          <w:szCs w:val="28"/>
        </w:rPr>
        <w:t xml:space="preserve">Прогноз поступления </w:t>
      </w:r>
      <w:r>
        <w:rPr>
          <w:b/>
          <w:color w:val="000000"/>
          <w:sz w:val="28"/>
          <w:szCs w:val="28"/>
        </w:rPr>
        <w:t>земельного налога</w:t>
      </w:r>
      <w:r>
        <w:rPr>
          <w:color w:val="000000"/>
          <w:sz w:val="28"/>
          <w:szCs w:val="28"/>
        </w:rPr>
        <w:t xml:space="preserve"> на 2025 год рассчитан исходя из налоговой базы (прогноза поступлений налогов и неналоговых платежей представляемых УФНС по Ивановской области) по кадастровой стоимости земель по нормативу поступления 100%. Ожидаемое поступление в бюджет Порздневского сельского поселения в 2024 году составит 160 000,0руб.</w:t>
      </w:r>
    </w:p>
    <w:p>
      <w:pPr>
        <w:pStyle w:val="Normal"/>
        <w:ind w:firstLine="567"/>
        <w:jc w:val="both"/>
        <w:rPr>
          <w:color w:val="000000"/>
        </w:rPr>
      </w:pPr>
      <w:r>
        <w:rPr>
          <w:color w:val="000000"/>
          <w:sz w:val="28"/>
          <w:szCs w:val="28"/>
        </w:rPr>
        <w:t xml:space="preserve">Уменьшение поступлений налогов по имуществу обусловлено налоговыми льготами в соответствии с Налоговым кодексом. </w:t>
      </w:r>
    </w:p>
    <w:p>
      <w:pPr>
        <w:pStyle w:val="Normal"/>
        <w:ind w:firstLine="708"/>
        <w:jc w:val="center"/>
        <w:rPr>
          <w:color w:val="000000"/>
        </w:rPr>
      </w:pPr>
      <w:r>
        <w:rPr>
          <w:b/>
          <w:color w:val="000000"/>
          <w:sz w:val="28"/>
          <w:szCs w:val="28"/>
        </w:rPr>
        <w:t>Безвозмездные поступления</w:t>
      </w:r>
    </w:p>
    <w:p>
      <w:pPr>
        <w:pStyle w:val="Normal"/>
        <w:jc w:val="both"/>
        <w:rPr>
          <w:color w:val="000000"/>
        </w:rPr>
      </w:pPr>
      <w:r>
        <w:rPr>
          <w:color w:val="000000"/>
          <w:sz w:val="28"/>
          <w:szCs w:val="28"/>
        </w:rPr>
        <w:t xml:space="preserve">      </w:t>
      </w:r>
      <w:r>
        <w:rPr>
          <w:color w:val="000000"/>
          <w:sz w:val="28"/>
          <w:szCs w:val="28"/>
        </w:rPr>
        <w:t>Объем безвозмездных поступлений в общей сумме доходов бюджета поселения в 2025 году составляет 97,7%.</w:t>
      </w:r>
    </w:p>
    <w:p>
      <w:pPr>
        <w:pStyle w:val="Normal"/>
        <w:jc w:val="both"/>
        <w:rPr>
          <w:color w:val="000000"/>
        </w:rPr>
      </w:pPr>
      <w:r>
        <w:rPr>
          <w:color w:val="000000"/>
          <w:sz w:val="28"/>
          <w:szCs w:val="28"/>
        </w:rPr>
        <w:t xml:space="preserve">      </w:t>
      </w:r>
      <w:r>
        <w:rPr>
          <w:color w:val="000000"/>
          <w:sz w:val="28"/>
          <w:szCs w:val="28"/>
        </w:rPr>
        <w:t>В составе указанной группы доходов предусмотрены безвозмездные поступления от других бюджетов бюджетной системы Российской Федерации:</w:t>
      </w:r>
    </w:p>
    <w:p>
      <w:pPr>
        <w:pStyle w:val="Normal"/>
        <w:jc w:val="both"/>
        <w:rPr>
          <w:color w:val="000000"/>
        </w:rPr>
      </w:pPr>
      <w:r>
        <w:rPr>
          <w:color w:val="000000"/>
          <w:sz w:val="28"/>
          <w:szCs w:val="28"/>
        </w:rPr>
        <w:t>- из областного бюджета в виде дотаций, субсидий, субвенций и иных межбюджетных трансфертов на 2025 - 2027 годы соответственно в суммах   12 914 922,86 руб., 10 023 436,19 руб., 8 516 076,19 руб., определенные в проекте Закона Ивановской области «Об областном бюджете на 2025 год и на плановый период 2026 и 2027 годов». Наибольший удельный вес в общем объеме безвозмездных поступлений из областного бюджета занимают дотации, в 2025 году размер дотаций составит 12 756 782,86 руб., в 2026 году – 9 850 216,19 руб., в 2027 году – 8 336 616,19 руб.:</w:t>
      </w:r>
    </w:p>
    <w:p>
      <w:pPr>
        <w:pStyle w:val="Normal"/>
        <w:spacing w:before="0" w:after="0"/>
        <w:contextualSpacing/>
        <w:jc w:val="both"/>
        <w:rPr>
          <w:color w:val="000000"/>
        </w:rPr>
      </w:pPr>
      <w:r>
        <w:rPr>
          <w:color w:val="000000"/>
          <w:sz w:val="28"/>
          <w:szCs w:val="28"/>
        </w:rPr>
        <w:t>-дотация на выравнивание бюджетной обеспеченности, размер которой в 2025 году определен бюджету Порздневского сельского поселения в размере 9 850 700,00 руб., на плановый период 2026 – 2027гг. – 7 697 900,00 руб., 6 184 300,00 руб. соответственно;</w:t>
      </w:r>
    </w:p>
    <w:p>
      <w:pPr>
        <w:pStyle w:val="Normal"/>
        <w:spacing w:before="0" w:after="0"/>
        <w:contextualSpacing/>
        <w:jc w:val="both"/>
        <w:rPr>
          <w:color w:val="000000"/>
        </w:rPr>
      </w:pPr>
      <w:r>
        <w:rPr>
          <w:color w:val="000000"/>
          <w:sz w:val="28"/>
          <w:szCs w:val="28"/>
        </w:rPr>
        <w:t>-дотация на частичную компенсацию дополнительных расходов на повышение оплаты труда работников бюджетной сферы и иные цели, размер которой в 2025 году определен бюджету Порздневского сельского поселения в размере 2 906 082,86 руб., на плановый период 2026 – 2027гг. –   2 152 316,19 руб.  соответственно на каждый год.</w:t>
      </w:r>
    </w:p>
    <w:p>
      <w:pPr>
        <w:pStyle w:val="Normal"/>
        <w:ind w:firstLine="709"/>
        <w:jc w:val="both"/>
        <w:rPr>
          <w:color w:val="000000"/>
        </w:rPr>
      </w:pPr>
      <w:r>
        <w:rPr>
          <w:color w:val="000000"/>
          <w:sz w:val="28"/>
          <w:szCs w:val="28"/>
        </w:rPr>
        <w:t xml:space="preserve">На финансовое обеспечение полномочий субъекта Российской Федерации, делегируемых для исполнения органам местного самоуправления, предусматриваются субвенции </w:t>
      </w:r>
      <w:r>
        <w:rPr>
          <w:color w:val="000000"/>
          <w:sz w:val="28"/>
          <w:szCs w:val="28"/>
          <w:shd w:fill="FFFFFF" w:val="clear"/>
        </w:rPr>
        <w:t>бюджетам на осуществление первичного воинского учета органами местного самоуправления поселений, муниципальных и городских округов</w:t>
      </w:r>
      <w:r>
        <w:rPr>
          <w:color w:val="000000"/>
          <w:sz w:val="28"/>
          <w:szCs w:val="28"/>
        </w:rPr>
        <w:t xml:space="preserve"> на 2025 год в сумме 158 140,0 руб., в 2026 году - 173 220,0руб., в 2027 году -179 460,0руб.;</w:t>
      </w:r>
    </w:p>
    <w:p>
      <w:pPr>
        <w:pStyle w:val="Normal"/>
        <w:jc w:val="both"/>
        <w:rPr>
          <w:color w:val="000000"/>
        </w:rPr>
      </w:pPr>
      <w:r>
        <w:rPr>
          <w:color w:val="000000"/>
          <w:sz w:val="28"/>
          <w:szCs w:val="28"/>
        </w:rPr>
        <w:t xml:space="preserve">- из бюджета Лухского муниципального района предоставлены иные межбюджетные трансферты в размере 1 350 387,00 руб. ежегодно, определенные в соответствии с проектом решения «О районном бюджете на 2025 год и на плановый период 2026 и 2027 годов».   </w:t>
      </w:r>
    </w:p>
    <w:p>
      <w:pPr>
        <w:pStyle w:val="Normal"/>
        <w:jc w:val="both"/>
        <w:rPr>
          <w:color w:val="000000"/>
        </w:rPr>
      </w:pPr>
      <w:r>
        <w:rPr>
          <w:color w:val="000000"/>
          <w:sz w:val="28"/>
          <w:szCs w:val="28"/>
        </w:rPr>
        <w:t xml:space="preserve">     </w:t>
      </w:r>
      <w:r>
        <w:rPr>
          <w:color w:val="000000"/>
          <w:sz w:val="28"/>
          <w:szCs w:val="28"/>
        </w:rPr>
        <w:t>Объем безвозмездных поступлений в общей сумме доходов бюджета поселения на плановый период 2026 года – 97,5%, на 2027 год – 97,2%.</w:t>
      </w:r>
    </w:p>
    <w:p>
      <w:pPr>
        <w:pStyle w:val="Normal"/>
        <w:jc w:val="both"/>
        <w:rPr>
          <w:color w:val="000000"/>
        </w:rPr>
      </w:pPr>
      <w:r>
        <w:rPr>
          <w:color w:val="000000"/>
          <w:sz w:val="28"/>
          <w:szCs w:val="28"/>
        </w:rPr>
        <w:t xml:space="preserve">     </w:t>
      </w:r>
      <w:r>
        <w:rPr>
          <w:color w:val="000000"/>
          <w:sz w:val="28"/>
          <w:szCs w:val="28"/>
        </w:rPr>
        <w:t>Данные о безвозмездных поступлениях представлены в таблице:</w:t>
      </w:r>
    </w:p>
    <w:p>
      <w:pPr>
        <w:pStyle w:val="Normal"/>
        <w:ind w:firstLine="708"/>
        <w:jc w:val="center"/>
        <w:rPr>
          <w:b/>
          <w:b/>
          <w:color w:val="000000"/>
          <w:sz w:val="28"/>
          <w:szCs w:val="28"/>
        </w:rPr>
      </w:pPr>
      <w:r>
        <w:rPr>
          <w:b/>
          <w:color w:val="000000"/>
          <w:sz w:val="28"/>
          <w:szCs w:val="28"/>
        </w:rPr>
      </w:r>
    </w:p>
    <w:p>
      <w:pPr>
        <w:pStyle w:val="Normal"/>
        <w:ind w:firstLine="708"/>
        <w:jc w:val="center"/>
        <w:rPr>
          <w:color w:val="000000"/>
        </w:rPr>
      </w:pPr>
      <w:r>
        <w:rPr>
          <w:color w:val="000000"/>
          <w:sz w:val="28"/>
          <w:szCs w:val="28"/>
        </w:rPr>
        <w:t>Безвозмездные поступления</w:t>
      </w:r>
    </w:p>
    <w:p>
      <w:pPr>
        <w:pStyle w:val="Normal"/>
        <w:ind w:firstLine="708"/>
        <w:jc w:val="right"/>
        <w:rPr>
          <w:color w:val="000000"/>
        </w:rPr>
      </w:pPr>
      <w:r>
        <w:rPr>
          <w:color w:val="000000"/>
          <w:sz w:val="20"/>
          <w:szCs w:val="20"/>
        </w:rPr>
        <w:t>(тыс.руб)</w:t>
      </w:r>
    </w:p>
    <w:tbl>
      <w:tblPr>
        <w:tblStyle w:val="af4"/>
        <w:tblW w:w="9948" w:type="dxa"/>
        <w:jc w:val="left"/>
        <w:tblInd w:w="-378" w:type="dxa"/>
        <w:tblLayout w:type="fixed"/>
        <w:tblCellMar>
          <w:top w:w="0" w:type="dxa"/>
          <w:left w:w="108" w:type="dxa"/>
          <w:bottom w:w="0" w:type="dxa"/>
          <w:right w:w="108" w:type="dxa"/>
        </w:tblCellMar>
        <w:tblLook w:firstRow="1" w:noVBand="1" w:lastRow="0" w:firstColumn="1" w:lastColumn="0" w:noHBand="0" w:val="04a0"/>
      </w:tblPr>
      <w:tblGrid>
        <w:gridCol w:w="2265"/>
        <w:gridCol w:w="2115"/>
        <w:gridCol w:w="1845"/>
        <w:gridCol w:w="1848"/>
        <w:gridCol w:w="1875"/>
      </w:tblGrid>
      <w:tr>
        <w:trPr/>
        <w:tc>
          <w:tcPr>
            <w:tcW w:w="2265" w:type="dxa"/>
            <w:tcBorders/>
          </w:tcPr>
          <w:p>
            <w:pPr>
              <w:pStyle w:val="Normal"/>
              <w:widowControl w:val="false"/>
              <w:suppressAutoHyphens w:val="true"/>
              <w:spacing w:before="0" w:after="0"/>
              <w:jc w:val="both"/>
              <w:rPr>
                <w:color w:val="000000"/>
                <w:sz w:val="20"/>
                <w:szCs w:val="28"/>
              </w:rPr>
            </w:pPr>
            <w:r>
              <w:rPr>
                <w:color w:val="000000"/>
                <w:sz w:val="20"/>
                <w:szCs w:val="28"/>
              </w:rPr>
            </w:r>
          </w:p>
        </w:tc>
        <w:tc>
          <w:tcPr>
            <w:tcW w:w="2115" w:type="dxa"/>
            <w:tcBorders/>
          </w:tcPr>
          <w:p>
            <w:pPr>
              <w:pStyle w:val="Normal"/>
              <w:widowControl w:val="false"/>
              <w:suppressAutoHyphens w:val="true"/>
              <w:spacing w:before="0" w:after="0"/>
              <w:jc w:val="center"/>
              <w:rPr>
                <w:color w:val="000000"/>
              </w:rPr>
            </w:pPr>
            <w:r>
              <w:rPr>
                <w:color w:val="000000"/>
                <w:kern w:val="0"/>
                <w:sz w:val="20"/>
                <w:szCs w:val="22"/>
                <w:lang w:val="ru-RU" w:bidi="ar-SA"/>
              </w:rPr>
              <w:t>2024 год утверждено решением о бюджете в действующей редакции</w:t>
            </w:r>
          </w:p>
        </w:tc>
        <w:tc>
          <w:tcPr>
            <w:tcW w:w="1845" w:type="dxa"/>
            <w:tcBorders/>
          </w:tcPr>
          <w:p>
            <w:pPr>
              <w:pStyle w:val="Normal"/>
              <w:widowControl w:val="false"/>
              <w:suppressAutoHyphens w:val="true"/>
              <w:spacing w:before="0" w:after="0"/>
              <w:jc w:val="center"/>
              <w:rPr>
                <w:color w:val="000000"/>
              </w:rPr>
            </w:pPr>
            <w:r>
              <w:rPr>
                <w:color w:val="000000"/>
                <w:kern w:val="0"/>
                <w:sz w:val="22"/>
                <w:szCs w:val="22"/>
                <w:lang w:val="ru-RU" w:bidi="ar-SA"/>
              </w:rPr>
              <w:t>2025 год</w:t>
            </w:r>
          </w:p>
        </w:tc>
        <w:tc>
          <w:tcPr>
            <w:tcW w:w="1848" w:type="dxa"/>
            <w:tcBorders/>
          </w:tcPr>
          <w:p>
            <w:pPr>
              <w:pStyle w:val="Normal"/>
              <w:widowControl w:val="false"/>
              <w:suppressAutoHyphens w:val="true"/>
              <w:spacing w:before="0" w:after="0"/>
              <w:jc w:val="center"/>
              <w:rPr>
                <w:color w:val="000000"/>
              </w:rPr>
            </w:pPr>
            <w:r>
              <w:rPr>
                <w:color w:val="000000"/>
                <w:kern w:val="0"/>
                <w:sz w:val="22"/>
                <w:szCs w:val="22"/>
                <w:lang w:val="ru-RU" w:bidi="ar-SA"/>
              </w:rPr>
              <w:t>2026 год</w:t>
            </w:r>
          </w:p>
        </w:tc>
        <w:tc>
          <w:tcPr>
            <w:tcW w:w="1875" w:type="dxa"/>
            <w:tcBorders/>
          </w:tcPr>
          <w:p>
            <w:pPr>
              <w:pStyle w:val="Normal"/>
              <w:widowControl w:val="false"/>
              <w:suppressAutoHyphens w:val="true"/>
              <w:spacing w:before="0" w:after="0"/>
              <w:jc w:val="center"/>
              <w:rPr>
                <w:color w:val="000000"/>
              </w:rPr>
            </w:pPr>
            <w:r>
              <w:rPr>
                <w:color w:val="000000"/>
                <w:kern w:val="0"/>
                <w:sz w:val="22"/>
                <w:szCs w:val="22"/>
                <w:lang w:val="ru-RU" w:bidi="ar-SA"/>
              </w:rPr>
              <w:t>2027 год</w:t>
            </w:r>
          </w:p>
        </w:tc>
      </w:tr>
      <w:tr>
        <w:trPr>
          <w:trHeight w:val="644" w:hRule="atLeast"/>
        </w:trPr>
        <w:tc>
          <w:tcPr>
            <w:tcW w:w="2265" w:type="dxa"/>
            <w:tcBorders/>
          </w:tcPr>
          <w:p>
            <w:pPr>
              <w:pStyle w:val="Normal"/>
              <w:widowControl w:val="false"/>
              <w:suppressAutoHyphens w:val="true"/>
              <w:spacing w:before="0" w:after="0"/>
              <w:jc w:val="both"/>
              <w:rPr>
                <w:color w:val="000000"/>
              </w:rPr>
            </w:pPr>
            <w:r>
              <w:rPr>
                <w:color w:val="000000"/>
                <w:kern w:val="0"/>
                <w:sz w:val="20"/>
                <w:lang w:val="ru-RU" w:bidi="ar-SA"/>
              </w:rPr>
              <w:t>Безвозмездные</w:t>
            </w:r>
          </w:p>
          <w:p>
            <w:pPr>
              <w:pStyle w:val="Normal"/>
              <w:widowControl w:val="false"/>
              <w:suppressAutoHyphens w:val="true"/>
              <w:spacing w:before="0" w:after="0"/>
              <w:jc w:val="both"/>
              <w:rPr>
                <w:color w:val="000000"/>
              </w:rPr>
            </w:pPr>
            <w:r>
              <w:rPr>
                <w:color w:val="000000"/>
                <w:kern w:val="0"/>
                <w:sz w:val="20"/>
                <w:lang w:val="ru-RU" w:bidi="ar-SA"/>
              </w:rPr>
              <w:t>поступления – всего:</w:t>
            </w:r>
          </w:p>
          <w:p>
            <w:pPr>
              <w:pStyle w:val="Normal"/>
              <w:widowControl w:val="false"/>
              <w:suppressAutoHyphens w:val="true"/>
              <w:spacing w:before="0" w:after="0"/>
              <w:jc w:val="both"/>
              <w:rPr>
                <w:color w:val="000000"/>
              </w:rPr>
            </w:pPr>
            <w:r>
              <w:rPr>
                <w:color w:val="000000"/>
                <w:kern w:val="0"/>
                <w:sz w:val="20"/>
                <w:lang w:val="ru-RU" w:bidi="ar-SA"/>
              </w:rPr>
              <w:t>в том числе:</w:t>
            </w:r>
          </w:p>
        </w:tc>
        <w:tc>
          <w:tcPr>
            <w:tcW w:w="2115" w:type="dxa"/>
            <w:tcBorders/>
          </w:tcPr>
          <w:p>
            <w:pPr>
              <w:pStyle w:val="Normal"/>
              <w:widowControl w:val="false"/>
              <w:suppressAutoHyphens w:val="true"/>
              <w:spacing w:before="0" w:after="0"/>
              <w:jc w:val="center"/>
              <w:rPr>
                <w:color w:val="000000"/>
              </w:rPr>
            </w:pPr>
            <w:r>
              <w:rPr>
                <w:color w:val="000000"/>
                <w:kern w:val="0"/>
                <w:sz w:val="20"/>
                <w:lang w:val="ru-RU" w:bidi="ar-SA"/>
              </w:rPr>
              <w:t>16 809,4</w:t>
            </w:r>
          </w:p>
        </w:tc>
        <w:tc>
          <w:tcPr>
            <w:tcW w:w="1845" w:type="dxa"/>
            <w:tcBorders/>
          </w:tcPr>
          <w:p>
            <w:pPr>
              <w:pStyle w:val="Normal"/>
              <w:widowControl w:val="false"/>
              <w:suppressAutoHyphens w:val="true"/>
              <w:spacing w:before="0" w:after="0"/>
              <w:jc w:val="center"/>
              <w:rPr>
                <w:color w:val="000000"/>
              </w:rPr>
            </w:pPr>
            <w:r>
              <w:rPr>
                <w:color w:val="000000"/>
                <w:kern w:val="0"/>
                <w:sz w:val="20"/>
                <w:lang w:val="ru-RU" w:bidi="ar-SA"/>
              </w:rPr>
              <w:t>14 265,3</w:t>
            </w:r>
          </w:p>
        </w:tc>
        <w:tc>
          <w:tcPr>
            <w:tcW w:w="1848" w:type="dxa"/>
            <w:tcBorders/>
          </w:tcPr>
          <w:p>
            <w:pPr>
              <w:pStyle w:val="Normal"/>
              <w:widowControl w:val="false"/>
              <w:suppressAutoHyphens w:val="true"/>
              <w:spacing w:before="0" w:after="0"/>
              <w:jc w:val="center"/>
              <w:rPr>
                <w:color w:val="000000"/>
              </w:rPr>
            </w:pPr>
            <w:r>
              <w:rPr>
                <w:color w:val="000000"/>
                <w:kern w:val="0"/>
                <w:sz w:val="20"/>
                <w:lang w:val="ru-RU" w:bidi="ar-SA"/>
              </w:rPr>
              <w:t>11 373,8</w:t>
            </w:r>
          </w:p>
        </w:tc>
        <w:tc>
          <w:tcPr>
            <w:tcW w:w="1875" w:type="dxa"/>
            <w:tcBorders/>
          </w:tcPr>
          <w:p>
            <w:pPr>
              <w:pStyle w:val="Normal"/>
              <w:widowControl w:val="false"/>
              <w:suppressAutoHyphens w:val="true"/>
              <w:spacing w:before="0" w:after="0"/>
              <w:jc w:val="center"/>
              <w:rPr>
                <w:color w:val="000000"/>
              </w:rPr>
            </w:pPr>
            <w:r>
              <w:rPr>
                <w:color w:val="000000"/>
                <w:kern w:val="0"/>
                <w:sz w:val="20"/>
                <w:lang w:val="ru-RU" w:bidi="ar-SA"/>
              </w:rPr>
              <w:t>9 866,5</w:t>
            </w:r>
          </w:p>
        </w:tc>
      </w:tr>
      <w:tr>
        <w:trPr/>
        <w:tc>
          <w:tcPr>
            <w:tcW w:w="2265" w:type="dxa"/>
            <w:tcBorders/>
          </w:tcPr>
          <w:p>
            <w:pPr>
              <w:pStyle w:val="Normal"/>
              <w:widowControl w:val="false"/>
              <w:suppressAutoHyphens w:val="true"/>
              <w:spacing w:before="0" w:after="0"/>
              <w:jc w:val="both"/>
              <w:rPr>
                <w:color w:val="000000"/>
              </w:rPr>
            </w:pPr>
            <w:r>
              <w:rPr>
                <w:color w:val="000000"/>
                <w:kern w:val="0"/>
                <w:sz w:val="20"/>
                <w:lang w:val="ru-RU" w:bidi="ar-SA"/>
              </w:rPr>
              <w:t>- дотации</w:t>
            </w:r>
          </w:p>
        </w:tc>
        <w:tc>
          <w:tcPr>
            <w:tcW w:w="2115" w:type="dxa"/>
            <w:tcBorders/>
          </w:tcPr>
          <w:p>
            <w:pPr>
              <w:pStyle w:val="Normal"/>
              <w:widowControl w:val="false"/>
              <w:suppressAutoHyphens w:val="true"/>
              <w:spacing w:before="0" w:after="0"/>
              <w:jc w:val="center"/>
              <w:rPr>
                <w:color w:val="000000"/>
              </w:rPr>
            </w:pPr>
            <w:r>
              <w:rPr>
                <w:color w:val="000000"/>
                <w:kern w:val="0"/>
                <w:sz w:val="20"/>
                <w:szCs w:val="20"/>
                <w:lang w:val="en-US" w:bidi="ar-SA"/>
              </w:rPr>
              <w:t>12 482,6</w:t>
            </w:r>
          </w:p>
        </w:tc>
        <w:tc>
          <w:tcPr>
            <w:tcW w:w="1845" w:type="dxa"/>
            <w:tcBorders/>
          </w:tcPr>
          <w:p>
            <w:pPr>
              <w:pStyle w:val="Normal"/>
              <w:widowControl w:val="false"/>
              <w:suppressAutoHyphens w:val="true"/>
              <w:spacing w:before="0" w:after="0"/>
              <w:jc w:val="center"/>
              <w:rPr>
                <w:color w:val="000000"/>
              </w:rPr>
            </w:pPr>
            <w:r>
              <w:rPr>
                <w:color w:val="000000"/>
                <w:kern w:val="0"/>
                <w:sz w:val="20"/>
                <w:lang w:val="ru-RU" w:bidi="ar-SA"/>
              </w:rPr>
              <w:t>12 756,8</w:t>
            </w:r>
          </w:p>
        </w:tc>
        <w:tc>
          <w:tcPr>
            <w:tcW w:w="1848" w:type="dxa"/>
            <w:tcBorders/>
          </w:tcPr>
          <w:p>
            <w:pPr>
              <w:pStyle w:val="Normal"/>
              <w:widowControl w:val="false"/>
              <w:suppressAutoHyphens w:val="true"/>
              <w:spacing w:before="0" w:after="0"/>
              <w:jc w:val="center"/>
              <w:rPr>
                <w:color w:val="000000"/>
              </w:rPr>
            </w:pPr>
            <w:r>
              <w:rPr>
                <w:color w:val="000000"/>
                <w:kern w:val="0"/>
                <w:sz w:val="20"/>
                <w:lang w:val="ru-RU" w:bidi="ar-SA"/>
              </w:rPr>
              <w:t>9 850,2</w:t>
            </w:r>
          </w:p>
        </w:tc>
        <w:tc>
          <w:tcPr>
            <w:tcW w:w="1875" w:type="dxa"/>
            <w:tcBorders/>
          </w:tcPr>
          <w:p>
            <w:pPr>
              <w:pStyle w:val="Normal"/>
              <w:widowControl w:val="false"/>
              <w:suppressAutoHyphens w:val="true"/>
              <w:spacing w:before="0" w:after="0"/>
              <w:jc w:val="center"/>
              <w:rPr>
                <w:color w:val="000000"/>
              </w:rPr>
            </w:pPr>
            <w:r>
              <w:rPr>
                <w:color w:val="000000"/>
                <w:kern w:val="0"/>
                <w:sz w:val="20"/>
                <w:lang w:val="ru-RU" w:bidi="ar-SA"/>
              </w:rPr>
              <w:t>8 336,6</w:t>
            </w:r>
          </w:p>
        </w:tc>
      </w:tr>
      <w:tr>
        <w:trPr/>
        <w:tc>
          <w:tcPr>
            <w:tcW w:w="2265" w:type="dxa"/>
            <w:tcBorders/>
          </w:tcPr>
          <w:p>
            <w:pPr>
              <w:pStyle w:val="Normal"/>
              <w:widowControl w:val="false"/>
              <w:suppressAutoHyphens w:val="true"/>
              <w:spacing w:before="0" w:after="0"/>
              <w:jc w:val="both"/>
              <w:rPr>
                <w:color w:val="000000"/>
              </w:rPr>
            </w:pPr>
            <w:r>
              <w:rPr>
                <w:color w:val="000000"/>
                <w:kern w:val="0"/>
                <w:sz w:val="20"/>
                <w:lang w:val="ru-RU" w:bidi="ar-SA"/>
              </w:rPr>
              <w:t>- субсидии</w:t>
            </w:r>
          </w:p>
        </w:tc>
        <w:tc>
          <w:tcPr>
            <w:tcW w:w="2115" w:type="dxa"/>
            <w:tcBorders/>
          </w:tcPr>
          <w:p>
            <w:pPr>
              <w:pStyle w:val="Normal"/>
              <w:widowControl w:val="false"/>
              <w:suppressAutoHyphens w:val="true"/>
              <w:spacing w:before="0" w:after="0"/>
              <w:jc w:val="center"/>
              <w:rPr>
                <w:color w:val="000000"/>
              </w:rPr>
            </w:pPr>
            <w:r>
              <w:rPr>
                <w:color w:val="000000"/>
                <w:kern w:val="0"/>
                <w:sz w:val="20"/>
                <w:szCs w:val="20"/>
                <w:lang w:val="ru-RU" w:bidi="ar-SA"/>
              </w:rPr>
              <w:t>990,0</w:t>
            </w:r>
          </w:p>
        </w:tc>
        <w:tc>
          <w:tcPr>
            <w:tcW w:w="1845" w:type="dxa"/>
            <w:tcBorders/>
          </w:tcPr>
          <w:p>
            <w:pPr>
              <w:pStyle w:val="Normal"/>
              <w:widowControl w:val="false"/>
              <w:suppressAutoHyphens w:val="true"/>
              <w:spacing w:before="0" w:after="0"/>
              <w:jc w:val="center"/>
              <w:rPr>
                <w:color w:val="000000"/>
              </w:rPr>
            </w:pPr>
            <w:r>
              <w:rPr>
                <w:color w:val="000000"/>
                <w:kern w:val="0"/>
                <w:sz w:val="20"/>
                <w:lang w:val="ru-RU" w:bidi="ar-SA"/>
              </w:rPr>
              <w:t>-</w:t>
            </w:r>
          </w:p>
        </w:tc>
        <w:tc>
          <w:tcPr>
            <w:tcW w:w="1848" w:type="dxa"/>
            <w:tcBorders/>
          </w:tcPr>
          <w:p>
            <w:pPr>
              <w:pStyle w:val="Normal"/>
              <w:widowControl w:val="false"/>
              <w:suppressAutoHyphens w:val="true"/>
              <w:spacing w:before="0" w:after="0"/>
              <w:jc w:val="center"/>
              <w:rPr>
                <w:color w:val="000000"/>
              </w:rPr>
            </w:pPr>
            <w:r>
              <w:rPr>
                <w:color w:val="000000"/>
                <w:kern w:val="0"/>
                <w:sz w:val="20"/>
                <w:lang w:val="ru-RU" w:bidi="ar-SA"/>
              </w:rPr>
              <w:t>-</w:t>
            </w:r>
          </w:p>
        </w:tc>
        <w:tc>
          <w:tcPr>
            <w:tcW w:w="1875" w:type="dxa"/>
            <w:tcBorders/>
          </w:tcPr>
          <w:p>
            <w:pPr>
              <w:pStyle w:val="Normal"/>
              <w:widowControl w:val="false"/>
              <w:suppressAutoHyphens w:val="true"/>
              <w:spacing w:before="0" w:after="0"/>
              <w:jc w:val="center"/>
              <w:rPr>
                <w:color w:val="000000"/>
              </w:rPr>
            </w:pPr>
            <w:r>
              <w:rPr>
                <w:color w:val="000000"/>
                <w:kern w:val="0"/>
                <w:sz w:val="20"/>
                <w:lang w:val="ru-RU" w:bidi="ar-SA"/>
              </w:rPr>
              <w:t>-</w:t>
            </w:r>
          </w:p>
        </w:tc>
      </w:tr>
      <w:tr>
        <w:trPr/>
        <w:tc>
          <w:tcPr>
            <w:tcW w:w="2265" w:type="dxa"/>
            <w:tcBorders/>
          </w:tcPr>
          <w:p>
            <w:pPr>
              <w:pStyle w:val="Normal"/>
              <w:widowControl w:val="false"/>
              <w:suppressAutoHyphens w:val="true"/>
              <w:spacing w:before="0" w:after="0"/>
              <w:jc w:val="both"/>
              <w:rPr>
                <w:color w:val="000000"/>
              </w:rPr>
            </w:pPr>
            <w:r>
              <w:rPr>
                <w:color w:val="000000"/>
                <w:kern w:val="0"/>
                <w:sz w:val="20"/>
                <w:lang w:val="ru-RU" w:bidi="ar-SA"/>
              </w:rPr>
              <w:t>- субвенции</w:t>
            </w:r>
          </w:p>
        </w:tc>
        <w:tc>
          <w:tcPr>
            <w:tcW w:w="2115" w:type="dxa"/>
            <w:tcBorders/>
          </w:tcPr>
          <w:p>
            <w:pPr>
              <w:pStyle w:val="Normal"/>
              <w:widowControl w:val="false"/>
              <w:suppressAutoHyphens w:val="true"/>
              <w:spacing w:before="0" w:after="0"/>
              <w:jc w:val="center"/>
              <w:rPr>
                <w:color w:val="000000"/>
              </w:rPr>
            </w:pPr>
            <w:r>
              <w:rPr>
                <w:color w:val="000000"/>
                <w:kern w:val="0"/>
                <w:sz w:val="20"/>
                <w:szCs w:val="20"/>
                <w:lang w:val="en-US" w:bidi="ar-SA"/>
              </w:rPr>
              <w:t>138,</w:t>
            </w:r>
            <w:r>
              <w:rPr>
                <w:color w:val="000000"/>
                <w:kern w:val="0"/>
                <w:sz w:val="20"/>
                <w:szCs w:val="20"/>
                <w:lang w:val="ru-RU" w:bidi="ar-SA"/>
              </w:rPr>
              <w:t>4</w:t>
            </w:r>
          </w:p>
        </w:tc>
        <w:tc>
          <w:tcPr>
            <w:tcW w:w="1845" w:type="dxa"/>
            <w:tcBorders/>
          </w:tcPr>
          <w:p>
            <w:pPr>
              <w:pStyle w:val="Normal"/>
              <w:widowControl w:val="false"/>
              <w:suppressAutoHyphens w:val="true"/>
              <w:spacing w:before="0" w:after="0"/>
              <w:jc w:val="center"/>
              <w:rPr>
                <w:color w:val="000000"/>
              </w:rPr>
            </w:pPr>
            <w:r>
              <w:rPr>
                <w:color w:val="000000"/>
                <w:kern w:val="0"/>
                <w:sz w:val="20"/>
                <w:lang w:val="ru-RU" w:bidi="ar-SA"/>
              </w:rPr>
              <w:t>158,1</w:t>
            </w:r>
          </w:p>
        </w:tc>
        <w:tc>
          <w:tcPr>
            <w:tcW w:w="1848" w:type="dxa"/>
            <w:tcBorders/>
          </w:tcPr>
          <w:p>
            <w:pPr>
              <w:pStyle w:val="Normal"/>
              <w:widowControl w:val="false"/>
              <w:suppressAutoHyphens w:val="true"/>
              <w:spacing w:before="0" w:after="0"/>
              <w:jc w:val="center"/>
              <w:rPr>
                <w:color w:val="000000"/>
              </w:rPr>
            </w:pPr>
            <w:r>
              <w:rPr>
                <w:color w:val="000000"/>
                <w:kern w:val="0"/>
                <w:sz w:val="20"/>
                <w:lang w:val="ru-RU" w:bidi="ar-SA"/>
              </w:rPr>
              <w:t>173,2</w:t>
            </w:r>
          </w:p>
        </w:tc>
        <w:tc>
          <w:tcPr>
            <w:tcW w:w="1875" w:type="dxa"/>
            <w:tcBorders/>
          </w:tcPr>
          <w:p>
            <w:pPr>
              <w:pStyle w:val="Normal"/>
              <w:widowControl w:val="false"/>
              <w:suppressAutoHyphens w:val="true"/>
              <w:spacing w:before="0" w:after="0"/>
              <w:jc w:val="center"/>
              <w:rPr>
                <w:color w:val="000000"/>
              </w:rPr>
            </w:pPr>
            <w:r>
              <w:rPr>
                <w:color w:val="000000"/>
                <w:kern w:val="0"/>
                <w:sz w:val="20"/>
                <w:lang w:val="ru-RU" w:bidi="ar-SA"/>
              </w:rPr>
              <w:t>179,5</w:t>
            </w:r>
          </w:p>
        </w:tc>
      </w:tr>
      <w:tr>
        <w:trPr/>
        <w:tc>
          <w:tcPr>
            <w:tcW w:w="2265" w:type="dxa"/>
            <w:tcBorders/>
          </w:tcPr>
          <w:p>
            <w:pPr>
              <w:pStyle w:val="Normal"/>
              <w:widowControl w:val="false"/>
              <w:suppressAutoHyphens w:val="true"/>
              <w:spacing w:before="0" w:after="0"/>
              <w:jc w:val="left"/>
              <w:rPr>
                <w:color w:val="000000"/>
              </w:rPr>
            </w:pPr>
            <w:r>
              <w:rPr>
                <w:color w:val="000000"/>
                <w:kern w:val="0"/>
                <w:sz w:val="20"/>
                <w:lang w:val="ru-RU" w:bidi="ar-SA"/>
              </w:rPr>
              <w:t>- иные межбюджетные трансферты</w:t>
            </w:r>
          </w:p>
        </w:tc>
        <w:tc>
          <w:tcPr>
            <w:tcW w:w="2115" w:type="dxa"/>
            <w:tcBorders/>
          </w:tcPr>
          <w:p>
            <w:pPr>
              <w:pStyle w:val="Normal"/>
              <w:widowControl w:val="false"/>
              <w:suppressAutoHyphens w:val="true"/>
              <w:spacing w:before="0" w:after="0"/>
              <w:jc w:val="center"/>
              <w:rPr>
                <w:color w:val="000000"/>
              </w:rPr>
            </w:pPr>
            <w:r>
              <w:rPr>
                <w:color w:val="000000"/>
                <w:kern w:val="0"/>
                <w:sz w:val="20"/>
                <w:szCs w:val="20"/>
                <w:lang w:val="en-US" w:bidi="ar-SA"/>
              </w:rPr>
              <w:t>3 19</w:t>
            </w:r>
            <w:r>
              <w:rPr>
                <w:color w:val="000000"/>
                <w:kern w:val="0"/>
                <w:sz w:val="20"/>
                <w:szCs w:val="20"/>
                <w:lang w:val="ru-RU" w:bidi="ar-SA"/>
              </w:rPr>
              <w:t>8,2</w:t>
            </w:r>
          </w:p>
        </w:tc>
        <w:tc>
          <w:tcPr>
            <w:tcW w:w="1845" w:type="dxa"/>
            <w:tcBorders/>
          </w:tcPr>
          <w:p>
            <w:pPr>
              <w:pStyle w:val="Normal"/>
              <w:widowControl w:val="false"/>
              <w:suppressAutoHyphens w:val="true"/>
              <w:spacing w:before="0" w:after="0"/>
              <w:jc w:val="center"/>
              <w:rPr>
                <w:color w:val="000000"/>
              </w:rPr>
            </w:pPr>
            <w:r>
              <w:rPr>
                <w:color w:val="000000"/>
                <w:kern w:val="0"/>
                <w:sz w:val="20"/>
                <w:lang w:val="ru-RU" w:bidi="ar-SA"/>
              </w:rPr>
              <w:t>1 350,4</w:t>
            </w:r>
          </w:p>
        </w:tc>
        <w:tc>
          <w:tcPr>
            <w:tcW w:w="1848" w:type="dxa"/>
            <w:tcBorders/>
          </w:tcPr>
          <w:p>
            <w:pPr>
              <w:pStyle w:val="Normal"/>
              <w:widowControl w:val="false"/>
              <w:suppressAutoHyphens w:val="true"/>
              <w:spacing w:before="0" w:after="0"/>
              <w:jc w:val="center"/>
              <w:rPr>
                <w:color w:val="000000"/>
              </w:rPr>
            </w:pPr>
            <w:r>
              <w:rPr>
                <w:color w:val="000000"/>
                <w:kern w:val="0"/>
                <w:sz w:val="20"/>
                <w:lang w:val="ru-RU" w:bidi="ar-SA"/>
              </w:rPr>
              <w:t>1 350,4</w:t>
            </w:r>
          </w:p>
        </w:tc>
        <w:tc>
          <w:tcPr>
            <w:tcW w:w="1875" w:type="dxa"/>
            <w:tcBorders/>
          </w:tcPr>
          <w:p>
            <w:pPr>
              <w:pStyle w:val="Normal"/>
              <w:widowControl w:val="false"/>
              <w:suppressAutoHyphens w:val="true"/>
              <w:spacing w:before="0" w:after="0"/>
              <w:jc w:val="center"/>
              <w:rPr>
                <w:color w:val="000000"/>
              </w:rPr>
            </w:pPr>
            <w:r>
              <w:rPr>
                <w:color w:val="000000"/>
                <w:kern w:val="0"/>
                <w:sz w:val="20"/>
                <w:lang w:val="ru-RU" w:bidi="ar-SA"/>
              </w:rPr>
              <w:t>1 350,4</w:t>
            </w:r>
          </w:p>
        </w:tc>
      </w:tr>
    </w:tbl>
    <w:p>
      <w:pPr>
        <w:pStyle w:val="Normal"/>
        <w:ind w:firstLine="708"/>
        <w:jc w:val="both"/>
        <w:rPr>
          <w:color w:val="000000"/>
        </w:rPr>
      </w:pPr>
      <w:r>
        <w:rPr>
          <w:color w:val="000000"/>
        </w:rPr>
      </w:r>
    </w:p>
    <w:p>
      <w:pPr>
        <w:pStyle w:val="Normal"/>
        <w:jc w:val="both"/>
        <w:rPr>
          <w:color w:val="000000"/>
        </w:rPr>
      </w:pPr>
      <w:r>
        <w:rPr>
          <w:color w:val="000000"/>
          <w:sz w:val="28"/>
          <w:szCs w:val="28"/>
        </w:rPr>
        <w:t xml:space="preserve">     </w:t>
      </w:r>
      <w:r>
        <w:rPr>
          <w:color w:val="000000"/>
          <w:sz w:val="28"/>
          <w:szCs w:val="28"/>
        </w:rPr>
        <w:t>Наибольший удельный вес в общем объеме безвозмездных поступлений занимает дотация на выравнивание бюджетной обеспеченности.</w:t>
      </w:r>
    </w:p>
    <w:p>
      <w:pPr>
        <w:pStyle w:val="Normal"/>
        <w:ind w:firstLine="708"/>
        <w:jc w:val="center"/>
        <w:rPr>
          <w:color w:val="000000"/>
        </w:rPr>
      </w:pPr>
      <w:r>
        <w:rPr>
          <w:b/>
          <w:color w:val="000000"/>
          <w:sz w:val="28"/>
          <w:szCs w:val="28"/>
        </w:rPr>
        <w:t>Общая характеристика расходной части бюджета</w:t>
      </w:r>
    </w:p>
    <w:p>
      <w:pPr>
        <w:pStyle w:val="Default"/>
        <w:jc w:val="both"/>
        <w:rPr>
          <w:color w:val="000000"/>
        </w:rPr>
      </w:pPr>
      <w:r>
        <w:rPr>
          <w:color w:val="000000"/>
          <w:sz w:val="28"/>
          <w:szCs w:val="28"/>
        </w:rPr>
        <w:t xml:space="preserve">     </w:t>
      </w:r>
      <w:r>
        <w:rPr>
          <w:color w:val="000000"/>
          <w:sz w:val="28"/>
          <w:szCs w:val="28"/>
        </w:rPr>
        <w:t>Расходы проекта бюджета Порздневского сельского поселения на 2025год предусмотрены в целом в сумме  14 598 430,12 руб., на плановый период 2026 года – 11 662 423,19 руб., на 2027 год – 10 155 063,19 руб.</w:t>
      </w:r>
    </w:p>
    <w:p>
      <w:pPr>
        <w:pStyle w:val="Normal"/>
        <w:jc w:val="both"/>
        <w:rPr>
          <w:color w:val="000000"/>
        </w:rPr>
      </w:pPr>
      <w:r>
        <w:rPr>
          <w:color w:val="000000"/>
          <w:sz w:val="28"/>
          <w:szCs w:val="28"/>
        </w:rPr>
        <w:t xml:space="preserve">     </w:t>
      </w:r>
      <w:r>
        <w:rPr>
          <w:color w:val="000000"/>
          <w:sz w:val="28"/>
          <w:szCs w:val="28"/>
        </w:rPr>
        <w:t>Структура расходов бюджета построена на исполнение принятых расходных обязательств   Порздневского сельского поселения. За основу приняты показатели ожидаемого выполнения местного бюджета сельского поселения за 2024 г. с учетом уточнений по следующим направлениям:</w:t>
      </w:r>
    </w:p>
    <w:p>
      <w:pPr>
        <w:pStyle w:val="Normal"/>
        <w:jc w:val="both"/>
        <w:rPr>
          <w:color w:val="000000"/>
        </w:rPr>
      </w:pPr>
      <w:r>
        <w:rPr>
          <w:color w:val="000000"/>
          <w:sz w:val="28"/>
          <w:szCs w:val="28"/>
        </w:rPr>
        <w:t>- оптимизация действующих расходных обязательств и перераспределение ресурсов на решение первоочередных задач;</w:t>
      </w:r>
    </w:p>
    <w:p>
      <w:pPr>
        <w:pStyle w:val="Normal"/>
        <w:jc w:val="both"/>
        <w:rPr>
          <w:color w:val="000000"/>
        </w:rPr>
      </w:pPr>
      <w:r>
        <w:rPr>
          <w:color w:val="000000"/>
          <w:sz w:val="28"/>
          <w:szCs w:val="28"/>
        </w:rPr>
        <w:t>- исполнение в первую очередь обязательств социального характера;</w:t>
      </w:r>
    </w:p>
    <w:p>
      <w:pPr>
        <w:pStyle w:val="Normal"/>
        <w:jc w:val="both"/>
        <w:rPr>
          <w:color w:val="000000"/>
        </w:rPr>
      </w:pPr>
      <w:r>
        <w:rPr>
          <w:color w:val="000000"/>
          <w:sz w:val="28"/>
          <w:szCs w:val="28"/>
        </w:rPr>
        <w:t>- обеспечение достижения значений целевых индикаторов, определенных майскими указами Президента Российской Федерации и повышение заработной платы до установленного уровня минимального размера оплаты труда с 01.01.2025;</w:t>
      </w:r>
    </w:p>
    <w:p>
      <w:pPr>
        <w:pStyle w:val="Normal"/>
        <w:jc w:val="both"/>
        <w:rPr>
          <w:color w:val="000000"/>
        </w:rPr>
      </w:pPr>
      <w:r>
        <w:rPr>
          <w:color w:val="000000"/>
          <w:sz w:val="28"/>
          <w:szCs w:val="28"/>
        </w:rPr>
        <w:t>- соблюдение программного принципа построения бюджета.</w:t>
      </w:r>
    </w:p>
    <w:p>
      <w:pPr>
        <w:pStyle w:val="Normal"/>
        <w:ind w:firstLine="567"/>
        <w:jc w:val="both"/>
        <w:rPr>
          <w:color w:val="000000"/>
        </w:rPr>
      </w:pPr>
      <w:r>
        <w:rPr>
          <w:color w:val="000000"/>
          <w:sz w:val="28"/>
          <w:szCs w:val="28"/>
        </w:rPr>
        <w:t>При этом необходимо учитывать, что указанные расходы в дальнейшем будут распределены по конкретным направлениям с учетом приоритетов Порздневского сельского поселения.</w:t>
      </w:r>
    </w:p>
    <w:p>
      <w:pPr>
        <w:pStyle w:val="Default"/>
        <w:ind w:left="360" w:hanging="0"/>
        <w:jc w:val="center"/>
        <w:rPr>
          <w:color w:val="000000"/>
        </w:rPr>
      </w:pPr>
      <w:r>
        <w:rPr>
          <w:b/>
          <w:color w:val="000000"/>
          <w:sz w:val="28"/>
          <w:szCs w:val="28"/>
        </w:rPr>
        <w:t>Программная структура расходов бюджета поселения на 2025 год и плановый период 2026 и 2027 годов представлена следующим образом</w:t>
      </w:r>
    </w:p>
    <w:p>
      <w:pPr>
        <w:pStyle w:val="Normal"/>
        <w:jc w:val="both"/>
        <w:rPr>
          <w:color w:val="000000"/>
        </w:rPr>
      </w:pPr>
      <w:r>
        <w:rPr>
          <w:color w:val="000000"/>
          <w:sz w:val="28"/>
          <w:szCs w:val="28"/>
        </w:rPr>
        <w:t xml:space="preserve">     </w:t>
      </w:r>
      <w:r>
        <w:rPr>
          <w:color w:val="000000"/>
          <w:sz w:val="28"/>
          <w:szCs w:val="28"/>
        </w:rPr>
        <w:t>В соответствии с требованиями бюджетного законодательства проект бюджета Порздневского сельского поселения сформирован в программной структуре расходов на основе муниципальных программ.</w:t>
      </w:r>
    </w:p>
    <w:p>
      <w:pPr>
        <w:pStyle w:val="Normal"/>
        <w:jc w:val="both"/>
        <w:rPr>
          <w:color w:val="000000"/>
        </w:rPr>
      </w:pPr>
      <w:r>
        <w:rPr>
          <w:color w:val="000000"/>
          <w:sz w:val="28"/>
          <w:szCs w:val="28"/>
        </w:rPr>
        <w:t xml:space="preserve">     </w:t>
      </w:r>
      <w:r>
        <w:rPr>
          <w:color w:val="000000"/>
          <w:sz w:val="28"/>
          <w:szCs w:val="28"/>
        </w:rPr>
        <w:t xml:space="preserve">С 2014 года Порздневское сельское поселение (согласно изменениям БК РФ) завершило переход на реализацию муниципальных программ. </w:t>
      </w:r>
    </w:p>
    <w:p>
      <w:pPr>
        <w:pStyle w:val="NoSpacing"/>
        <w:jc w:val="both"/>
        <w:rPr>
          <w:color w:val="000000"/>
        </w:rPr>
      </w:pPr>
      <w:r>
        <w:rPr>
          <w:color w:val="000000"/>
          <w:sz w:val="28"/>
          <w:szCs w:val="28"/>
          <w:lang w:eastAsia="ru-RU"/>
        </w:rPr>
        <w:t xml:space="preserve">       </w:t>
      </w:r>
      <w:r>
        <w:rPr>
          <w:color w:val="000000"/>
          <w:sz w:val="28"/>
          <w:szCs w:val="28"/>
          <w:lang w:eastAsia="ru-RU"/>
        </w:rPr>
        <w:t>В соответствии с перечнем муниципальных программ Порздневского сельского поселения, утвержденным постановлением администрации Порздневского сельского поселения от 21.10.2022г. № 50, проект местного бюджета на 2025 год и на плановый период 2026 и 2027 гг. сформирован в программной структуре расходов на основе восьми муниципальных программ Порздневского сельского поселения (далее – муниципальные программы).</w:t>
      </w:r>
    </w:p>
    <w:p>
      <w:pPr>
        <w:pStyle w:val="NoSpacing"/>
        <w:jc w:val="both"/>
        <w:rPr>
          <w:color w:val="000000"/>
        </w:rPr>
      </w:pPr>
      <w:r>
        <w:rPr>
          <w:color w:val="000000"/>
          <w:sz w:val="28"/>
          <w:szCs w:val="28"/>
          <w:lang w:eastAsia="ru-RU"/>
        </w:rPr>
        <w:t xml:space="preserve">     </w:t>
      </w:r>
      <w:r>
        <w:rPr>
          <w:color w:val="000000"/>
          <w:sz w:val="28"/>
          <w:szCs w:val="28"/>
          <w:lang w:eastAsia="ru-RU"/>
        </w:rPr>
        <w:t>Наибольший удельный вес в структуре расходов на 2025 год составляют программные расходы – 96,4%, на 2026 год – 98,4%, на 2027 год – 98,1%.</w:t>
      </w:r>
    </w:p>
    <w:p>
      <w:pPr>
        <w:pStyle w:val="Normal"/>
        <w:jc w:val="both"/>
        <w:rPr>
          <w:color w:val="000000"/>
        </w:rPr>
      </w:pPr>
      <w:r>
        <w:rPr>
          <w:color w:val="000000"/>
          <w:sz w:val="28"/>
          <w:szCs w:val="28"/>
        </w:rPr>
        <w:t xml:space="preserve">     </w:t>
      </w:r>
      <w:r>
        <w:rPr>
          <w:color w:val="000000"/>
          <w:sz w:val="28"/>
          <w:szCs w:val="28"/>
        </w:rPr>
        <w:t>Муниципальными программами на 2025 год не охвачено 3,6 %  общих расходов бюджета или 534 140,0 руб., на 2026 год –1,6% или 179 220,0 руб., на 2027 год – 1,9% или 185 460,0 руб.</w:t>
      </w:r>
    </w:p>
    <w:p>
      <w:pPr>
        <w:pStyle w:val="Normal"/>
        <w:jc w:val="both"/>
        <w:rPr>
          <w:color w:val="000000"/>
        </w:rPr>
      </w:pPr>
      <w:r>
        <w:rPr>
          <w:color w:val="000000"/>
          <w:sz w:val="28"/>
          <w:szCs w:val="28"/>
        </w:rPr>
        <w:t xml:space="preserve">     </w:t>
      </w:r>
      <w:r>
        <w:rPr>
          <w:color w:val="000000"/>
          <w:sz w:val="28"/>
          <w:szCs w:val="28"/>
        </w:rPr>
        <w:t xml:space="preserve">Наибольшая доля программных расходов приходится на программу «Совершенствование управления муниципальными финансами» в 2025 году </w:t>
      </w:r>
      <w:r>
        <w:rPr>
          <w:i/>
          <w:color w:val="000000"/>
          <w:sz w:val="28"/>
          <w:szCs w:val="28"/>
        </w:rPr>
        <w:t xml:space="preserve">- </w:t>
      </w:r>
      <w:r>
        <w:rPr>
          <w:color w:val="000000"/>
          <w:sz w:val="28"/>
          <w:szCs w:val="28"/>
        </w:rPr>
        <w:t>35,6 %,  в 2026 году – 43,8%, в 2027 году – 42,5%, «Культура Порздневского сельского поселения» в 2025 году – 40,7%, в 2026 году – 30,6%, в 2027 году – 31,5%, «Благоустройство территории поселения» в 2025 году – 9,2%, в 2026 году – 9,0%, в 2027 году – 7,9%.</w:t>
      </w:r>
    </w:p>
    <w:p>
      <w:pPr>
        <w:pStyle w:val="Normal"/>
        <w:jc w:val="both"/>
        <w:rPr>
          <w:color w:val="000000"/>
        </w:rPr>
      </w:pPr>
      <w:r>
        <w:rPr>
          <w:color w:val="000000"/>
          <w:sz w:val="28"/>
          <w:szCs w:val="28"/>
        </w:rPr>
        <w:t xml:space="preserve">     </w:t>
      </w:r>
      <w:r>
        <w:rPr>
          <w:color w:val="000000"/>
          <w:sz w:val="28"/>
          <w:szCs w:val="28"/>
        </w:rPr>
        <w:t>Наименьшая доля программных расходов приходится на программы:</w:t>
      </w:r>
    </w:p>
    <w:p>
      <w:pPr>
        <w:pStyle w:val="Normal"/>
        <w:jc w:val="both"/>
        <w:rPr>
          <w:color w:val="000000"/>
        </w:rPr>
      </w:pPr>
      <w:r>
        <w:rPr>
          <w:color w:val="000000"/>
          <w:sz w:val="28"/>
          <w:szCs w:val="28"/>
        </w:rPr>
        <w:t xml:space="preserve">- «Развитие физической культуры и спорта в поселении» в 2025 году – 0,1%, плановом периоде 2026 и 2027гг. – 0,1%, </w:t>
      </w:r>
    </w:p>
    <w:p>
      <w:pPr>
        <w:pStyle w:val="Normal"/>
        <w:jc w:val="both"/>
        <w:rPr>
          <w:color w:val="000000"/>
        </w:rPr>
      </w:pPr>
      <w:r>
        <w:rPr>
          <w:color w:val="000000"/>
          <w:sz w:val="28"/>
          <w:szCs w:val="28"/>
        </w:rPr>
        <w:t>- «Содействие и развитии сельскохозяйственного производства и малого предпринимательства» в 2025г. – 0,25%, в плановом периоде 2026-2027гг. – 0,2%.</w:t>
      </w:r>
    </w:p>
    <w:p>
      <w:pPr>
        <w:pStyle w:val="Normal"/>
        <w:tabs>
          <w:tab w:val="clear" w:pos="708"/>
          <w:tab w:val="left" w:pos="3460" w:leader="none"/>
        </w:tabs>
        <w:jc w:val="both"/>
        <w:rPr>
          <w:color w:val="000000"/>
        </w:rPr>
      </w:pPr>
      <w:r>
        <w:rPr>
          <w:color w:val="000000"/>
          <w:sz w:val="28"/>
          <w:szCs w:val="28"/>
        </w:rPr>
        <w:t xml:space="preserve">     </w:t>
      </w:r>
      <w:r>
        <w:rPr>
          <w:color w:val="000000"/>
          <w:sz w:val="28"/>
          <w:szCs w:val="28"/>
        </w:rPr>
        <w:t>В проекте бюджета учтена реализация следующих муниципальных программ:</w:t>
      </w:r>
    </w:p>
    <w:p>
      <w:pPr>
        <w:pStyle w:val="Normal"/>
        <w:jc w:val="both"/>
        <w:rPr>
          <w:color w:val="000000"/>
        </w:rPr>
      </w:pPr>
      <w:r>
        <w:rPr>
          <w:color w:val="000000"/>
          <w:sz w:val="28"/>
          <w:szCs w:val="28"/>
        </w:rPr>
        <w:t xml:space="preserve">     </w:t>
      </w:r>
      <w:r>
        <w:rPr>
          <w:color w:val="000000"/>
          <w:sz w:val="28"/>
          <w:szCs w:val="28"/>
        </w:rPr>
        <w:t>Муниципальная программа Порздневского сельского поселения</w:t>
      </w:r>
      <w:r>
        <w:rPr>
          <w:b/>
          <w:color w:val="000000"/>
          <w:sz w:val="28"/>
          <w:szCs w:val="28"/>
        </w:rPr>
        <w:t xml:space="preserve"> «Совершенствование управления муниципальными финансами» </w:t>
      </w:r>
      <w:r>
        <w:rPr>
          <w:color w:val="000000"/>
          <w:sz w:val="28"/>
          <w:szCs w:val="28"/>
        </w:rPr>
        <w:t xml:space="preserve">утверждена постановлением администрации Порздневского сельского поселения от 14.11.2013г. № 66, постановлением администрации от 29.10.2024г. №51 в данную программу внесены изменения, утвердив расходные ассигнования на 2025 год в сумме 5 008 245,12 руб., плановый период 2026 и 2027гг. в сумме 4 916 442,0 руб. и 4 056 442,0 руб.  соответственно. Проектом бюджета установлен аналогичный объем финансирования Программы.  </w:t>
      </w:r>
    </w:p>
    <w:p>
      <w:pPr>
        <w:pStyle w:val="Normal"/>
        <w:jc w:val="both"/>
        <w:rPr>
          <w:color w:val="000000"/>
        </w:rPr>
      </w:pPr>
      <w:r>
        <w:rPr>
          <w:color w:val="000000"/>
          <w:sz w:val="28"/>
          <w:szCs w:val="28"/>
        </w:rPr>
        <w:t xml:space="preserve">     </w:t>
      </w:r>
      <w:r>
        <w:rPr>
          <w:color w:val="000000"/>
          <w:sz w:val="28"/>
          <w:szCs w:val="28"/>
        </w:rPr>
        <w:t>Цель программы - совершенствование управления муниципальными финансами.</w:t>
      </w:r>
    </w:p>
    <w:p>
      <w:pPr>
        <w:pStyle w:val="Normal"/>
        <w:jc w:val="both"/>
        <w:rPr>
          <w:color w:val="000000"/>
        </w:rPr>
      </w:pPr>
      <w:r>
        <w:rPr>
          <w:color w:val="000000"/>
          <w:sz w:val="28"/>
          <w:szCs w:val="28"/>
        </w:rPr>
        <w:t xml:space="preserve">     </w:t>
      </w:r>
      <w:r>
        <w:rPr>
          <w:color w:val="000000"/>
          <w:sz w:val="28"/>
          <w:szCs w:val="28"/>
        </w:rPr>
        <w:t>Данная программа содержит специальную подпрограмму:</w:t>
      </w:r>
    </w:p>
    <w:p>
      <w:pPr>
        <w:pStyle w:val="ProTab"/>
        <w:ind w:left="68" w:hanging="0"/>
        <w:jc w:val="both"/>
        <w:rPr>
          <w:color w:val="000000"/>
        </w:rPr>
      </w:pPr>
      <w:r>
        <w:rPr>
          <w:rFonts w:ascii="Times New Roman" w:hAnsi="Times New Roman"/>
          <w:color w:val="000000"/>
          <w:sz w:val="28"/>
          <w:szCs w:val="28"/>
        </w:rPr>
        <w:t xml:space="preserve">- «Обеспечение деятельности органов местного самоуправления   администрации Порздневского сельского поселения» </w:t>
      </w:r>
    </w:p>
    <w:p>
      <w:pPr>
        <w:pStyle w:val="ProTab"/>
        <w:rPr>
          <w:color w:val="000000"/>
        </w:rPr>
      </w:pPr>
      <w:r>
        <w:rPr>
          <w:rFonts w:ascii="Times New Roman" w:hAnsi="Times New Roman"/>
          <w:color w:val="000000"/>
          <w:sz w:val="28"/>
          <w:szCs w:val="28"/>
        </w:rPr>
        <w:t>и аналитическую программу:</w:t>
      </w:r>
    </w:p>
    <w:p>
      <w:pPr>
        <w:pStyle w:val="Normal"/>
        <w:jc w:val="both"/>
        <w:rPr>
          <w:color w:val="000000"/>
        </w:rPr>
      </w:pPr>
      <w:r>
        <w:rPr>
          <w:color w:val="000000"/>
          <w:sz w:val="28"/>
          <w:szCs w:val="28"/>
        </w:rPr>
        <w:t>-  «Обеспечение финансирования непредвиденных расходов».</w:t>
      </w:r>
    </w:p>
    <w:p>
      <w:pPr>
        <w:pStyle w:val="Normal"/>
        <w:ind w:hanging="426"/>
        <w:jc w:val="both"/>
        <w:rPr>
          <w:color w:val="000000"/>
        </w:rPr>
      </w:pPr>
      <w:r>
        <w:rPr>
          <w:color w:val="000000"/>
          <w:sz w:val="28"/>
          <w:szCs w:val="28"/>
        </w:rPr>
        <w:t xml:space="preserve">          </w:t>
      </w:r>
      <w:r>
        <w:rPr>
          <w:color w:val="000000"/>
          <w:sz w:val="28"/>
          <w:szCs w:val="28"/>
        </w:rPr>
        <w:t>Срок реализации программы 2021-2027гг.</w:t>
      </w:r>
    </w:p>
    <w:p>
      <w:pPr>
        <w:pStyle w:val="Normal"/>
        <w:jc w:val="both"/>
        <w:rPr>
          <w:color w:val="000000"/>
        </w:rPr>
      </w:pPr>
      <w:r>
        <w:rPr>
          <w:color w:val="000000"/>
          <w:sz w:val="28"/>
          <w:szCs w:val="28"/>
        </w:rPr>
        <w:t xml:space="preserve">     </w:t>
      </w:r>
      <w:r>
        <w:rPr>
          <w:color w:val="000000"/>
          <w:sz w:val="28"/>
          <w:szCs w:val="28"/>
        </w:rPr>
        <w:t>Муниципальная программа Порздневского сельского поселения</w:t>
      </w:r>
      <w:r>
        <w:rPr>
          <w:b/>
          <w:color w:val="000000"/>
          <w:sz w:val="28"/>
          <w:szCs w:val="28"/>
        </w:rPr>
        <w:t xml:space="preserve"> «Обеспечение пожарной безопасности граждан на территории Порздневского сельского поселения» </w:t>
      </w:r>
      <w:r>
        <w:rPr>
          <w:color w:val="000000"/>
          <w:sz w:val="28"/>
          <w:szCs w:val="28"/>
        </w:rPr>
        <w:t>утверждена постановлением администрации Порздневского сельского поселения от 26.10.2016г. № 77, постановлением администрации от 29.10.2024г. №52 в данную программу внесены изменения, утвердив расходные ассигнования на 2025 год в сумме 570 240,0руб., на плановый период 2026г.– 396 000,0 руб., 2027г.- 300 000,0руб.</w:t>
      </w:r>
    </w:p>
    <w:p>
      <w:pPr>
        <w:pStyle w:val="Normal"/>
        <w:jc w:val="both"/>
        <w:rPr>
          <w:color w:val="000000"/>
        </w:rPr>
      </w:pPr>
      <w:r>
        <w:rPr>
          <w:color w:val="000000"/>
          <w:sz w:val="28"/>
          <w:szCs w:val="28"/>
        </w:rPr>
        <w:t xml:space="preserve">     </w:t>
      </w:r>
      <w:r>
        <w:rPr>
          <w:color w:val="000000"/>
          <w:sz w:val="28"/>
          <w:szCs w:val="28"/>
        </w:rPr>
        <w:t xml:space="preserve">Цель программы - создание и обеспечение необходимых условий для повышения пожарной безопасности населенных пунктов и   организаций от пожаров, предупреждения и смягчения их последствий, а также повышение степени готовности всех сил и средств для тушения пожаров.                                                                                   </w:t>
      </w:r>
    </w:p>
    <w:p>
      <w:pPr>
        <w:pStyle w:val="Normal"/>
        <w:jc w:val="both"/>
        <w:rPr>
          <w:color w:val="000000"/>
        </w:rPr>
      </w:pPr>
      <w:r>
        <w:rPr>
          <w:color w:val="000000"/>
          <w:sz w:val="28"/>
          <w:szCs w:val="28"/>
        </w:rPr>
        <w:t xml:space="preserve">     </w:t>
      </w:r>
      <w:r>
        <w:rPr>
          <w:color w:val="000000"/>
          <w:sz w:val="28"/>
          <w:szCs w:val="28"/>
        </w:rPr>
        <w:t>В рамках данной программы имеется одна подпрограмма:</w:t>
      </w:r>
    </w:p>
    <w:p>
      <w:pPr>
        <w:pStyle w:val="Normal"/>
        <w:jc w:val="both"/>
        <w:rPr>
          <w:color w:val="000000"/>
        </w:rPr>
      </w:pPr>
      <w:r>
        <w:rPr>
          <w:color w:val="000000"/>
          <w:sz w:val="28"/>
          <w:szCs w:val="28"/>
        </w:rPr>
        <w:t xml:space="preserve">- «Развитие пожарной безопасности Порздневского сельского поселения».  </w:t>
      </w:r>
    </w:p>
    <w:p>
      <w:pPr>
        <w:pStyle w:val="Normal"/>
        <w:jc w:val="both"/>
        <w:rPr>
          <w:color w:val="000000"/>
        </w:rPr>
      </w:pPr>
      <w:r>
        <w:rPr>
          <w:color w:val="000000"/>
          <w:sz w:val="28"/>
          <w:szCs w:val="28"/>
        </w:rPr>
        <w:t xml:space="preserve">     </w:t>
      </w:r>
      <w:r>
        <w:rPr>
          <w:color w:val="000000"/>
          <w:sz w:val="28"/>
          <w:szCs w:val="28"/>
        </w:rPr>
        <w:t>Срок реализации программы – 2023-2027 гг.</w:t>
      </w:r>
    </w:p>
    <w:p>
      <w:pPr>
        <w:pStyle w:val="Normal"/>
        <w:jc w:val="both"/>
        <w:rPr>
          <w:color w:val="000000"/>
        </w:rPr>
      </w:pPr>
      <w:r>
        <w:rPr>
          <w:color w:val="000000"/>
          <w:sz w:val="28"/>
          <w:szCs w:val="28"/>
        </w:rPr>
        <w:t xml:space="preserve">  </w:t>
      </w:r>
      <w:r>
        <w:rPr>
          <w:color w:val="000000"/>
          <w:sz w:val="28"/>
          <w:szCs w:val="28"/>
        </w:rPr>
        <w:t xml:space="preserve">Муниципальная программа Порздневского сельского поселения </w:t>
      </w:r>
      <w:r>
        <w:rPr>
          <w:rFonts w:cs="Calibri"/>
          <w:b/>
          <w:color w:val="000000"/>
          <w:sz w:val="28"/>
          <w:szCs w:val="28"/>
        </w:rPr>
        <w:t>«</w:t>
      </w:r>
      <w:r>
        <w:rPr>
          <w:b/>
          <w:bCs/>
          <w:color w:val="000000"/>
          <w:sz w:val="28"/>
          <w:szCs w:val="28"/>
        </w:rPr>
        <w:t>Организация дорожной деятельности и транспортных услуг в границах поселения</w:t>
      </w:r>
      <w:r>
        <w:rPr>
          <w:b/>
          <w:color w:val="000000"/>
          <w:sz w:val="28"/>
          <w:szCs w:val="28"/>
        </w:rPr>
        <w:t xml:space="preserve">» </w:t>
      </w:r>
      <w:r>
        <w:rPr>
          <w:color w:val="000000"/>
          <w:sz w:val="28"/>
          <w:szCs w:val="28"/>
        </w:rPr>
        <w:t>утверждена постановлением администрации Порздневского сельского поселения от 14.11.2016г. № 33, постановлением администрации от 29.10.2024г. №53 в данную программу внесены изменения, утвердив расходные ассигнования на 2025 год и плановый период 2026 и 2027гг. в сумме  1 110 387,0 руб. ежегодно.</w:t>
      </w:r>
    </w:p>
    <w:p>
      <w:pPr>
        <w:pStyle w:val="Normal"/>
        <w:jc w:val="both"/>
        <w:rPr>
          <w:color w:val="000000"/>
        </w:rPr>
      </w:pPr>
      <w:r>
        <w:rPr>
          <w:color w:val="000000"/>
          <w:sz w:val="28"/>
          <w:szCs w:val="28"/>
        </w:rPr>
        <w:t xml:space="preserve">     </w:t>
      </w:r>
      <w:r>
        <w:rPr>
          <w:color w:val="000000"/>
          <w:sz w:val="28"/>
          <w:szCs w:val="28"/>
        </w:rPr>
        <w:t>Целью программы является повышение доступности услуг транспортного обслуживания населения и 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в границах  Порздневского сельского поселения.</w:t>
      </w:r>
    </w:p>
    <w:p>
      <w:pPr>
        <w:pStyle w:val="Normal"/>
        <w:jc w:val="both"/>
        <w:rPr>
          <w:color w:val="000000"/>
        </w:rPr>
      </w:pPr>
      <w:r>
        <w:rPr>
          <w:color w:val="000000"/>
          <w:sz w:val="28"/>
          <w:szCs w:val="28"/>
        </w:rPr>
        <w:t xml:space="preserve">     </w:t>
      </w:r>
      <w:r>
        <w:rPr>
          <w:color w:val="000000"/>
          <w:sz w:val="28"/>
          <w:szCs w:val="28"/>
        </w:rPr>
        <w:t>В рамках данной программы имеются 2 подпрограммы:</w:t>
      </w:r>
    </w:p>
    <w:p>
      <w:pPr>
        <w:pStyle w:val="Normal"/>
        <w:jc w:val="both"/>
        <w:rPr>
          <w:color w:val="000000"/>
        </w:rPr>
      </w:pPr>
      <w:r>
        <w:rPr>
          <w:color w:val="000000"/>
          <w:sz w:val="28"/>
          <w:szCs w:val="28"/>
        </w:rPr>
        <w:t xml:space="preserve">-«Создание условий для предоставления транспортных услуг населению»;  </w:t>
      </w:r>
    </w:p>
    <w:p>
      <w:pPr>
        <w:pStyle w:val="Normal"/>
        <w:jc w:val="both"/>
        <w:rPr>
          <w:color w:val="000000"/>
        </w:rPr>
      </w:pPr>
      <w:r>
        <w:rPr>
          <w:color w:val="000000"/>
          <w:sz w:val="28"/>
          <w:szCs w:val="28"/>
        </w:rPr>
        <w:t xml:space="preserve">- «Ремонт и содержание дорог поселения».  </w:t>
      </w:r>
    </w:p>
    <w:p>
      <w:pPr>
        <w:pStyle w:val="Normal"/>
        <w:jc w:val="both"/>
        <w:rPr>
          <w:color w:val="000000"/>
        </w:rPr>
      </w:pPr>
      <w:r>
        <w:rPr>
          <w:color w:val="000000"/>
          <w:sz w:val="28"/>
          <w:szCs w:val="28"/>
        </w:rPr>
        <w:t xml:space="preserve">     </w:t>
      </w:r>
      <w:r>
        <w:rPr>
          <w:color w:val="000000"/>
          <w:sz w:val="28"/>
          <w:szCs w:val="28"/>
        </w:rPr>
        <w:t>Срок реализации программы – 2017-2027гг.</w:t>
      </w:r>
    </w:p>
    <w:p>
      <w:pPr>
        <w:pStyle w:val="Normal"/>
        <w:jc w:val="both"/>
        <w:rPr>
          <w:color w:val="000000"/>
        </w:rPr>
      </w:pPr>
      <w:r>
        <w:rPr>
          <w:color w:val="000000"/>
          <w:sz w:val="28"/>
          <w:szCs w:val="28"/>
        </w:rPr>
        <w:t xml:space="preserve">     </w:t>
      </w:r>
      <w:r>
        <w:rPr>
          <w:color w:val="000000"/>
          <w:sz w:val="28"/>
          <w:szCs w:val="28"/>
        </w:rPr>
        <w:t xml:space="preserve">Муниципальная программа Порздневского сельского поселения </w:t>
      </w:r>
      <w:r>
        <w:rPr>
          <w:b/>
          <w:color w:val="000000"/>
          <w:sz w:val="28"/>
          <w:szCs w:val="28"/>
        </w:rPr>
        <w:t>«Благоустройство территории поселения»</w:t>
      </w:r>
      <w:r>
        <w:rPr>
          <w:color w:val="000000"/>
          <w:sz w:val="28"/>
          <w:szCs w:val="28"/>
        </w:rPr>
        <w:t xml:space="preserve"> утверждена постановлением администрации Порздневского сельского поселения от 26.10.2016г. № 76, постановлением администрации от 29.10.2024г. № 46 в данную программу внесены изменения, утвердив расходные ассигнования на 2025 год в сумме         1 287 971,0 руб., на плановый период 2026г.  – 1 008 427,0 руб., 2027 г. – 751 504,0 руб.  </w:t>
      </w:r>
    </w:p>
    <w:p>
      <w:pPr>
        <w:pStyle w:val="Normal"/>
        <w:jc w:val="both"/>
        <w:rPr>
          <w:color w:val="000000"/>
        </w:rPr>
      </w:pPr>
      <w:r>
        <w:rPr>
          <w:color w:val="000000"/>
          <w:sz w:val="28"/>
          <w:szCs w:val="28"/>
        </w:rPr>
        <w:t xml:space="preserve">  </w:t>
      </w:r>
      <w:r>
        <w:rPr>
          <w:color w:val="000000"/>
          <w:sz w:val="28"/>
          <w:szCs w:val="28"/>
        </w:rPr>
        <w:t>Целью программы является комплексное решение проблем благоустройства, обеспечение и улучшение внешнего вида территории Порздневского сельского поселения, способствующего комфортной жизнедеятельности, создание комфортных условий проживания и отдыха населения.</w:t>
      </w:r>
    </w:p>
    <w:p>
      <w:pPr>
        <w:pStyle w:val="Normal"/>
        <w:jc w:val="both"/>
        <w:rPr>
          <w:color w:val="000000"/>
        </w:rPr>
      </w:pPr>
      <w:r>
        <w:rPr>
          <w:color w:val="000000"/>
          <w:sz w:val="28"/>
          <w:szCs w:val="28"/>
        </w:rPr>
        <w:t xml:space="preserve">     </w:t>
      </w:r>
      <w:r>
        <w:rPr>
          <w:color w:val="000000"/>
          <w:sz w:val="28"/>
          <w:szCs w:val="28"/>
        </w:rPr>
        <w:t>В данной программе имеется 1  подпрограмма:</w:t>
      </w:r>
    </w:p>
    <w:p>
      <w:pPr>
        <w:pStyle w:val="Normal"/>
        <w:jc w:val="both"/>
        <w:rPr>
          <w:color w:val="000000"/>
        </w:rPr>
      </w:pPr>
      <w:r>
        <w:rPr>
          <w:color w:val="000000"/>
          <w:sz w:val="28"/>
          <w:szCs w:val="28"/>
        </w:rPr>
        <w:t xml:space="preserve">- «Благоустройство населенных пунктов поселения».  </w:t>
      </w:r>
    </w:p>
    <w:p>
      <w:pPr>
        <w:pStyle w:val="Normal"/>
        <w:jc w:val="both"/>
        <w:rPr>
          <w:color w:val="000000"/>
        </w:rPr>
      </w:pPr>
      <w:r>
        <w:rPr>
          <w:color w:val="000000"/>
          <w:sz w:val="28"/>
          <w:szCs w:val="28"/>
        </w:rPr>
        <w:t xml:space="preserve">     </w:t>
      </w:r>
      <w:r>
        <w:rPr>
          <w:color w:val="000000"/>
          <w:sz w:val="28"/>
          <w:szCs w:val="28"/>
        </w:rPr>
        <w:t>Срок реализации программы – 2023-2027гг.</w:t>
      </w:r>
    </w:p>
    <w:p>
      <w:pPr>
        <w:pStyle w:val="Normal"/>
        <w:jc w:val="both"/>
        <w:rPr>
          <w:color w:val="000000"/>
        </w:rPr>
      </w:pPr>
      <w:r>
        <w:rPr>
          <w:color w:val="000000"/>
          <w:sz w:val="28"/>
          <w:szCs w:val="28"/>
        </w:rPr>
        <w:t xml:space="preserve">    </w:t>
      </w:r>
      <w:r>
        <w:rPr>
          <w:color w:val="000000"/>
          <w:sz w:val="28"/>
          <w:szCs w:val="28"/>
        </w:rPr>
        <w:t xml:space="preserve">Муниципальная программа Порздневского сельского поселения </w:t>
      </w:r>
      <w:r>
        <w:rPr>
          <w:b/>
          <w:color w:val="000000"/>
          <w:sz w:val="28"/>
          <w:szCs w:val="28"/>
        </w:rPr>
        <w:t>«Культура Порздневского сельского поселения</w:t>
      </w:r>
      <w:r>
        <w:rPr>
          <w:color w:val="000000"/>
          <w:sz w:val="28"/>
          <w:szCs w:val="28"/>
        </w:rPr>
        <w:t>» утверждена постановлением администрации Порздневского сельского поселения от 14.11.2013г. № 71, постановлением администрации от 29.10.2024г. № 47 в данную программу внесены изменения, утвердив расходные ассигнования на 2025 год в сумме 5 720 984,00 руб., на плановый период 2025г.- 3 438 004,0руб. и 2026 г. – 3 000 000,0 руб.</w:t>
      </w:r>
    </w:p>
    <w:p>
      <w:pPr>
        <w:pStyle w:val="Normal"/>
        <w:jc w:val="both"/>
        <w:rPr>
          <w:color w:val="000000"/>
        </w:rPr>
      </w:pPr>
      <w:r>
        <w:rPr>
          <w:color w:val="000000"/>
          <w:sz w:val="28"/>
          <w:szCs w:val="28"/>
        </w:rPr>
        <w:t xml:space="preserve">     </w:t>
      </w:r>
      <w:r>
        <w:rPr>
          <w:color w:val="000000"/>
          <w:sz w:val="28"/>
          <w:szCs w:val="28"/>
        </w:rPr>
        <w:t xml:space="preserve">Целью программы является развитие культуры на территории </w:t>
      </w:r>
      <w:r>
        <w:rPr>
          <w:bCs/>
          <w:color w:val="000000"/>
          <w:sz w:val="28"/>
          <w:szCs w:val="28"/>
        </w:rPr>
        <w:t>Порздневского сельского поселения</w:t>
      </w:r>
      <w:r>
        <w:rPr>
          <w:color w:val="000000"/>
          <w:sz w:val="28"/>
          <w:szCs w:val="28"/>
        </w:rPr>
        <w:t>.</w:t>
      </w:r>
    </w:p>
    <w:p>
      <w:pPr>
        <w:pStyle w:val="Normal"/>
        <w:jc w:val="both"/>
        <w:rPr>
          <w:color w:val="000000"/>
        </w:rPr>
      </w:pPr>
      <w:r>
        <w:rPr>
          <w:color w:val="000000"/>
          <w:sz w:val="28"/>
          <w:szCs w:val="28"/>
        </w:rPr>
        <w:t xml:space="preserve">     </w:t>
      </w:r>
      <w:r>
        <w:rPr>
          <w:color w:val="000000"/>
          <w:sz w:val="28"/>
          <w:szCs w:val="28"/>
        </w:rPr>
        <w:t>В рамках данной программы разработана специальная подпрограмма:</w:t>
      </w:r>
    </w:p>
    <w:p>
      <w:pPr>
        <w:pStyle w:val="Normal"/>
        <w:jc w:val="both"/>
        <w:rPr>
          <w:color w:val="000000"/>
        </w:rPr>
      </w:pPr>
      <w:r>
        <w:rPr>
          <w:color w:val="000000"/>
          <w:sz w:val="28"/>
          <w:szCs w:val="28"/>
        </w:rPr>
        <w:t xml:space="preserve">- «Обеспечение деятельности учреждений культуры».  </w:t>
      </w:r>
    </w:p>
    <w:p>
      <w:pPr>
        <w:pStyle w:val="Normal"/>
        <w:jc w:val="both"/>
        <w:rPr>
          <w:color w:val="000000"/>
        </w:rPr>
      </w:pPr>
      <w:r>
        <w:rPr>
          <w:color w:val="000000"/>
          <w:sz w:val="28"/>
          <w:szCs w:val="28"/>
        </w:rPr>
        <w:t xml:space="preserve">     </w:t>
      </w:r>
      <w:r>
        <w:rPr>
          <w:color w:val="000000"/>
          <w:sz w:val="28"/>
          <w:szCs w:val="28"/>
        </w:rPr>
        <w:t>Срок реализации программы – 2021-2027гг.</w:t>
      </w:r>
    </w:p>
    <w:p>
      <w:pPr>
        <w:pStyle w:val="Normal"/>
        <w:jc w:val="both"/>
        <w:rPr>
          <w:color w:val="000000"/>
        </w:rPr>
      </w:pPr>
      <w:r>
        <w:rPr>
          <w:color w:val="000000"/>
          <w:sz w:val="28"/>
          <w:szCs w:val="28"/>
        </w:rPr>
        <w:t xml:space="preserve">     </w:t>
      </w:r>
      <w:r>
        <w:rPr>
          <w:color w:val="000000"/>
          <w:sz w:val="28"/>
          <w:szCs w:val="28"/>
        </w:rPr>
        <w:t>Муниципальная программа Порздневского сельского поселения</w:t>
      </w:r>
      <w:r>
        <w:rPr>
          <w:b/>
          <w:color w:val="000000"/>
          <w:sz w:val="28"/>
          <w:szCs w:val="28"/>
        </w:rPr>
        <w:t xml:space="preserve"> «Социальная поддержка граждан Порздневского сельского поселения» </w:t>
      </w:r>
      <w:r>
        <w:rPr>
          <w:color w:val="000000"/>
          <w:sz w:val="28"/>
          <w:szCs w:val="28"/>
        </w:rPr>
        <w:t xml:space="preserve">утверждена постановлением администрации Порздневского сельского поселения от 14.11.2013г. № 68, постановлением администрации от 29.10.2024г. № 49 в данную программу внесены изменения, утвердив расходные ассигнования на 2025 год и на период 2026 г. в сумме 324 463,0 руб.,   на  2027г. -300 000,0  руб.  </w:t>
      </w:r>
    </w:p>
    <w:p>
      <w:pPr>
        <w:pStyle w:val="Normal"/>
        <w:jc w:val="both"/>
        <w:rPr>
          <w:color w:val="000000"/>
        </w:rPr>
      </w:pPr>
      <w:r>
        <w:rPr>
          <w:color w:val="000000"/>
          <w:sz w:val="28"/>
          <w:szCs w:val="28"/>
        </w:rPr>
        <w:t xml:space="preserve">     </w:t>
      </w:r>
      <w:r>
        <w:rPr>
          <w:color w:val="000000"/>
          <w:sz w:val="28"/>
          <w:szCs w:val="28"/>
        </w:rPr>
        <w:t>Целью программы является – снижение социальной напряженности, улучшение социального положения граждан Порздневского сельского поселения.</w:t>
      </w:r>
    </w:p>
    <w:p>
      <w:pPr>
        <w:pStyle w:val="Normal"/>
        <w:jc w:val="both"/>
        <w:rPr>
          <w:color w:val="000000"/>
        </w:rPr>
      </w:pPr>
      <w:r>
        <w:rPr>
          <w:color w:val="000000"/>
          <w:sz w:val="28"/>
          <w:szCs w:val="28"/>
        </w:rPr>
        <w:t xml:space="preserve">     </w:t>
      </w:r>
      <w:r>
        <w:rPr>
          <w:color w:val="000000"/>
          <w:sz w:val="28"/>
          <w:szCs w:val="28"/>
        </w:rPr>
        <w:t>В данной программе имеются одна аналитическая подпрограмма:</w:t>
      </w:r>
    </w:p>
    <w:p>
      <w:pPr>
        <w:pStyle w:val="Normal"/>
        <w:jc w:val="both"/>
        <w:rPr>
          <w:color w:val="000000"/>
        </w:rPr>
      </w:pPr>
      <w:r>
        <w:rPr>
          <w:color w:val="000000"/>
          <w:sz w:val="28"/>
          <w:szCs w:val="28"/>
        </w:rPr>
        <w:t>- «Выплата ежемесячного пенсионного обеспечения, ежемесячной доплаты к трудовой пенсии по старости отдельным категориям граждан»;</w:t>
      </w:r>
    </w:p>
    <w:p>
      <w:pPr>
        <w:pStyle w:val="Normal"/>
        <w:jc w:val="both"/>
        <w:rPr>
          <w:color w:val="000000"/>
        </w:rPr>
      </w:pPr>
      <w:r>
        <w:rPr>
          <w:color w:val="000000"/>
          <w:sz w:val="28"/>
          <w:szCs w:val="28"/>
        </w:rPr>
        <w:t xml:space="preserve">     </w:t>
      </w:r>
      <w:r>
        <w:rPr>
          <w:color w:val="000000"/>
          <w:sz w:val="28"/>
          <w:szCs w:val="28"/>
        </w:rPr>
        <w:t>Срок реализации программы – 2021-2027 гг.</w:t>
      </w:r>
    </w:p>
    <w:p>
      <w:pPr>
        <w:pStyle w:val="Normal"/>
        <w:jc w:val="both"/>
        <w:rPr>
          <w:color w:val="000000"/>
        </w:rPr>
      </w:pPr>
      <w:r>
        <w:rPr>
          <w:color w:val="000000"/>
          <w:sz w:val="28"/>
          <w:szCs w:val="28"/>
        </w:rPr>
        <w:t xml:space="preserve">     </w:t>
      </w:r>
      <w:r>
        <w:rPr>
          <w:color w:val="000000"/>
          <w:sz w:val="28"/>
          <w:szCs w:val="28"/>
        </w:rPr>
        <w:t xml:space="preserve">Муниципальная программа Порздневского сельского поселения </w:t>
      </w:r>
      <w:r>
        <w:rPr>
          <w:b/>
          <w:color w:val="000000"/>
          <w:sz w:val="28"/>
          <w:szCs w:val="28"/>
        </w:rPr>
        <w:t>«</w:t>
      </w:r>
      <w:r>
        <w:rPr>
          <w:rFonts w:cs="Calibri"/>
          <w:b/>
          <w:color w:val="000000"/>
          <w:sz w:val="28"/>
          <w:szCs w:val="28"/>
        </w:rPr>
        <w:t xml:space="preserve">Содействие в развитии сельскохозяйственного производства, малого и среднего предпринимательства» </w:t>
      </w:r>
      <w:r>
        <w:rPr>
          <w:color w:val="000000"/>
          <w:sz w:val="28"/>
          <w:szCs w:val="28"/>
        </w:rPr>
        <w:t>утверждена постановлением администрации Порздневского сельского поселения от 26.10.2016г. № 78, постановлением администрации от 25.10.2024г. № 48 в данную программу внесены изменения, утвердив расходные ассигнования на 2025год в сумме -35 000руб., на плановый период 2026г. – 20 000,0 руб., на 2027г. – 15 000,0руб.</w:t>
      </w:r>
    </w:p>
    <w:p>
      <w:pPr>
        <w:pStyle w:val="Normal"/>
        <w:jc w:val="both"/>
        <w:rPr>
          <w:color w:val="000000"/>
        </w:rPr>
      </w:pPr>
      <w:r>
        <w:rPr>
          <w:color w:val="000000"/>
          <w:sz w:val="28"/>
          <w:szCs w:val="28"/>
        </w:rPr>
        <w:t xml:space="preserve">     </w:t>
      </w:r>
      <w:r>
        <w:rPr>
          <w:color w:val="000000"/>
          <w:sz w:val="28"/>
          <w:szCs w:val="28"/>
        </w:rPr>
        <w:t>Целью программы является создание условий по организации пропаганды трудовых навыков работников массовых профессий сельскохозяйственного производства, повышение предпринимательской активности и развитие малого и среднего предпринимательства.</w:t>
      </w:r>
    </w:p>
    <w:p>
      <w:pPr>
        <w:pStyle w:val="Normal"/>
        <w:jc w:val="both"/>
        <w:rPr>
          <w:color w:val="000000"/>
        </w:rPr>
      </w:pPr>
      <w:r>
        <w:rPr>
          <w:color w:val="000000"/>
          <w:sz w:val="28"/>
          <w:szCs w:val="28"/>
        </w:rPr>
        <w:t xml:space="preserve">    </w:t>
      </w:r>
      <w:r>
        <w:rPr>
          <w:color w:val="000000"/>
          <w:sz w:val="28"/>
          <w:szCs w:val="28"/>
        </w:rPr>
        <w:t>В рамках данной программы разработаны две подпрограммы:</w:t>
      </w:r>
    </w:p>
    <w:p>
      <w:pPr>
        <w:pStyle w:val="Normal"/>
        <w:ind w:left="360" w:hanging="0"/>
        <w:jc w:val="both"/>
        <w:rPr>
          <w:color w:val="000000"/>
        </w:rPr>
      </w:pPr>
      <w:r>
        <w:rPr>
          <w:color w:val="000000"/>
          <w:sz w:val="28"/>
          <w:szCs w:val="28"/>
        </w:rPr>
        <w:t>- «Содействие в развитии сельскохозяйственного производства»;</w:t>
      </w:r>
    </w:p>
    <w:p>
      <w:pPr>
        <w:pStyle w:val="Normal"/>
        <w:ind w:left="360" w:hanging="0"/>
        <w:jc w:val="both"/>
        <w:rPr>
          <w:color w:val="000000"/>
        </w:rPr>
      </w:pPr>
      <w:r>
        <w:rPr>
          <w:color w:val="000000"/>
          <w:sz w:val="28"/>
          <w:szCs w:val="28"/>
        </w:rPr>
        <w:t>- «Оформление права собственности и использование земельных ресурсов в Порздневском сельском поселении».</w:t>
      </w:r>
    </w:p>
    <w:p>
      <w:pPr>
        <w:pStyle w:val="Normal"/>
        <w:ind w:left="360" w:hanging="0"/>
        <w:jc w:val="both"/>
        <w:rPr>
          <w:color w:val="000000"/>
        </w:rPr>
      </w:pPr>
      <w:r>
        <w:rPr>
          <w:color w:val="000000"/>
          <w:sz w:val="28"/>
          <w:szCs w:val="28"/>
        </w:rPr>
        <w:t>Срок реализации программы – 2017-2027гг.</w:t>
      </w:r>
    </w:p>
    <w:p>
      <w:pPr>
        <w:pStyle w:val="Normal"/>
        <w:jc w:val="both"/>
        <w:rPr>
          <w:color w:val="000000"/>
        </w:rPr>
      </w:pPr>
      <w:r>
        <w:rPr>
          <w:color w:val="000000"/>
          <w:sz w:val="28"/>
          <w:szCs w:val="28"/>
        </w:rPr>
        <w:t xml:space="preserve">     </w:t>
      </w:r>
      <w:r>
        <w:rPr>
          <w:color w:val="000000"/>
          <w:sz w:val="28"/>
          <w:szCs w:val="28"/>
        </w:rPr>
        <w:t>Муниципальная программа Порздневского сельского поселения</w:t>
      </w:r>
      <w:r>
        <w:rPr>
          <w:b/>
          <w:color w:val="000000"/>
          <w:sz w:val="28"/>
          <w:szCs w:val="28"/>
        </w:rPr>
        <w:t xml:space="preserve"> «Развитие физической культуры и спорта в поселении» </w:t>
      </w:r>
      <w:r>
        <w:rPr>
          <w:color w:val="000000"/>
          <w:sz w:val="28"/>
          <w:szCs w:val="28"/>
        </w:rPr>
        <w:t>утверждена постановлением администрации Порздневского сельского поселения от 14.11.2016г. № 85, постановлением администрации от 29.10.2024г. № 50 в данную программу внесены изменения, утвердив расходные ассигнования на 2025 год в сумме – 7 000,00руб., на плановый период 2026 г. -  10 000,0 руб., на 2027г. – 5 000,0руб.</w:t>
      </w:r>
    </w:p>
    <w:p>
      <w:pPr>
        <w:pStyle w:val="Normal"/>
        <w:jc w:val="both"/>
        <w:rPr>
          <w:color w:val="000000"/>
        </w:rPr>
      </w:pPr>
      <w:r>
        <w:rPr>
          <w:color w:val="000000"/>
          <w:sz w:val="28"/>
          <w:szCs w:val="28"/>
        </w:rPr>
        <w:t xml:space="preserve">     </w:t>
      </w:r>
      <w:r>
        <w:rPr>
          <w:color w:val="000000"/>
          <w:sz w:val="28"/>
          <w:szCs w:val="28"/>
        </w:rPr>
        <w:t>Целью программы является повышение роли физической культуры и спорта в формировании здорового образа жизни населения Порздневского сельского поселения.</w:t>
      </w:r>
    </w:p>
    <w:p>
      <w:pPr>
        <w:pStyle w:val="Normal"/>
        <w:jc w:val="both"/>
        <w:rPr>
          <w:color w:val="000000"/>
        </w:rPr>
      </w:pPr>
      <w:r>
        <w:rPr>
          <w:color w:val="000000"/>
          <w:sz w:val="28"/>
          <w:szCs w:val="28"/>
        </w:rPr>
        <w:t xml:space="preserve">     </w:t>
      </w:r>
      <w:r>
        <w:rPr>
          <w:color w:val="000000"/>
          <w:sz w:val="28"/>
          <w:szCs w:val="28"/>
        </w:rPr>
        <w:t>Срок реализации программы 2017-2027гг.</w:t>
      </w:r>
    </w:p>
    <w:p>
      <w:pPr>
        <w:pStyle w:val="Normal"/>
        <w:jc w:val="both"/>
        <w:rPr>
          <w:color w:val="000000"/>
        </w:rPr>
      </w:pPr>
      <w:r>
        <w:rPr>
          <w:color w:val="000000"/>
          <w:sz w:val="28"/>
          <w:szCs w:val="28"/>
        </w:rPr>
        <w:t xml:space="preserve">     </w:t>
      </w:r>
      <w:r>
        <w:rPr>
          <w:color w:val="000000"/>
          <w:sz w:val="28"/>
          <w:szCs w:val="28"/>
        </w:rPr>
        <w:t>По итогам распределения бюджетных ассигнований по разделам, подразделам функциональной классификации наибольшая доля выделенных бюджетных ассигнований приходится на раздел 0800 «Культура кинематография», на 2025 год доля ассигнований составляет 39,2 ед. от общего объема расходных обязательств, на плановый период 2026 года –30,2 ед., на 2027 год – 30,9 ед.,  в 2024 г. согласно оценке ожидаемого исполнения бюджета – 33,8 ед.</w:t>
      </w:r>
    </w:p>
    <w:p>
      <w:pPr>
        <w:pStyle w:val="Normal"/>
        <w:jc w:val="both"/>
        <w:rPr>
          <w:color w:val="000000"/>
        </w:rPr>
      </w:pPr>
      <w:r>
        <w:rPr>
          <w:color w:val="000000"/>
          <w:sz w:val="28"/>
          <w:szCs w:val="28"/>
        </w:rPr>
        <w:t xml:space="preserve">        </w:t>
      </w:r>
      <w:r>
        <w:rPr>
          <w:color w:val="000000"/>
          <w:sz w:val="28"/>
          <w:szCs w:val="28"/>
        </w:rPr>
        <w:t>Далее наибольший удельный вес приходится на раздел 0100 «Общегосударственные расходы», его доля на 2025 г. составляет 35,2ед. от общего объема расходных обязательств, на 2026 год – 43,2 ед., на 2027 год – 41,8 ед., по сравнению с 2024 г. согласно оценке ожидаемого исполнения бюджета – 27,2 ед.</w:t>
      </w:r>
    </w:p>
    <w:p>
      <w:pPr>
        <w:pStyle w:val="Normal"/>
        <w:jc w:val="both"/>
        <w:rPr>
          <w:color w:val="000000"/>
        </w:rPr>
      </w:pPr>
      <w:r>
        <w:rPr>
          <w:color w:val="000000"/>
          <w:sz w:val="28"/>
          <w:szCs w:val="28"/>
        </w:rPr>
        <w:t xml:space="preserve">          </w:t>
      </w:r>
      <w:r>
        <w:rPr>
          <w:color w:val="000000"/>
          <w:sz w:val="28"/>
          <w:szCs w:val="28"/>
        </w:rPr>
        <w:t>По разделу 0500 «Жилищно-коммунальное хозяйство» в 2024г. удельный вес от общего объема расходов ожидается 15,7 ед. На  2025г. удельный вес от общего объема расходов планируется 8,8 ед., на 2026 год планируется 8,8 ед., на 2027г. – 7,7 ед.</w:t>
      </w:r>
    </w:p>
    <w:p>
      <w:pPr>
        <w:pStyle w:val="Normal"/>
        <w:jc w:val="both"/>
        <w:rPr>
          <w:color w:val="000000"/>
        </w:rPr>
      </w:pPr>
      <w:r>
        <w:rPr>
          <w:color w:val="000000"/>
          <w:sz w:val="28"/>
          <w:szCs w:val="28"/>
        </w:rPr>
        <w:t xml:space="preserve">     </w:t>
      </w:r>
      <w:r>
        <w:rPr>
          <w:color w:val="000000"/>
          <w:sz w:val="28"/>
          <w:szCs w:val="28"/>
        </w:rPr>
        <w:t>По разделу 0400 «Национальная экономика» в  2024г. удельный вес от общего объема расходов ожидается 16,4 ед. На 2025г. удельный вес от общего объема расходов планируется 7,8 ед., на 2026г. – 9,9 ед., на 2027 г.- 11,6 ед.</w:t>
      </w:r>
    </w:p>
    <w:p>
      <w:pPr>
        <w:pStyle w:val="Normal"/>
        <w:jc w:val="both"/>
        <w:rPr>
          <w:color w:val="000000"/>
        </w:rPr>
      </w:pPr>
      <w:r>
        <w:rPr>
          <w:color w:val="000000"/>
          <w:sz w:val="28"/>
          <w:szCs w:val="28"/>
        </w:rPr>
        <w:t xml:space="preserve">     </w:t>
      </w:r>
      <w:r>
        <w:rPr>
          <w:color w:val="000000"/>
          <w:sz w:val="28"/>
          <w:szCs w:val="28"/>
        </w:rPr>
        <w:t>По разделу 0300 «Национальная безопасность и правоохранительная деятельность» в  2024г. удельный вес от общего объема расходов ожидается 4,1 ед. На 2025г. удельный вес от общего объема расходов планируется 4,4 ед., на 2026г. – 3,5 ед., на 2027 г.- 3,1 ед.</w:t>
      </w:r>
    </w:p>
    <w:p>
      <w:pPr>
        <w:pStyle w:val="Normal"/>
        <w:jc w:val="both"/>
        <w:rPr>
          <w:color w:val="000000"/>
        </w:rPr>
      </w:pPr>
      <w:r>
        <w:rPr>
          <w:color w:val="000000"/>
          <w:sz w:val="28"/>
          <w:szCs w:val="28"/>
        </w:rPr>
        <w:t xml:space="preserve">     </w:t>
      </w:r>
      <w:r>
        <w:rPr>
          <w:color w:val="000000"/>
          <w:sz w:val="28"/>
          <w:szCs w:val="28"/>
        </w:rPr>
        <w:t>Наименьший удельный вес приходится на раздел 1100 «Физическая культура и спорт» в  2024г. удельный вес от общего объема расходов ожидается 0,09 ед. На 2025г. удельный вес от общего объема расходов планируется 0,04 ед., на 2026г. – 0,09 ед., на 2027 г.- 0,05 ед.</w:t>
      </w:r>
    </w:p>
    <w:p>
      <w:pPr>
        <w:pStyle w:val="Normal"/>
        <w:jc w:val="both"/>
        <w:rPr>
          <w:color w:val="000000"/>
        </w:rPr>
      </w:pPr>
      <w:r>
        <w:rPr>
          <w:color w:val="000000"/>
          <w:sz w:val="28"/>
          <w:szCs w:val="28"/>
        </w:rPr>
        <w:t xml:space="preserve">     </w:t>
      </w:r>
      <w:r>
        <w:rPr>
          <w:color w:val="000000"/>
          <w:sz w:val="28"/>
          <w:szCs w:val="28"/>
        </w:rPr>
        <w:t xml:space="preserve">Анализ бюджетных ассигнований в разрезе функциональной классификации за   отчетный период  2024 года в сравнении с 2025 годом и плановым периодом 2026 и 2027 годов  приведен в рисунке № 1:  </w:t>
      </w:r>
    </w:p>
    <w:p>
      <w:pPr>
        <w:pStyle w:val="Normal"/>
        <w:jc w:val="both"/>
        <w:rPr>
          <w:color w:val="000000"/>
          <w:sz w:val="28"/>
          <w:szCs w:val="28"/>
        </w:rPr>
      </w:pPr>
      <w:r>
        <w:rPr>
          <w:color w:val="000000"/>
          <w:sz w:val="28"/>
          <w:szCs w:val="28"/>
        </w:rPr>
      </w:r>
    </w:p>
    <w:p>
      <w:pPr>
        <w:pStyle w:val="Normal"/>
        <w:jc w:val="both"/>
        <w:rPr>
          <w:color w:val="000000"/>
        </w:rPr>
      </w:pPr>
      <w:r>
        <w:rPr/>
        <w:drawing>
          <wp:inline distT="0" distB="0" distL="0" distR="0">
            <wp:extent cx="5953125" cy="279844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jc w:val="both"/>
        <w:rPr>
          <w:color w:val="000000"/>
        </w:rPr>
      </w:pPr>
      <w:r>
        <w:rPr>
          <w:color w:val="000000"/>
          <w:sz w:val="28"/>
          <w:szCs w:val="28"/>
        </w:rPr>
        <w:t xml:space="preserve">     </w:t>
      </w:r>
    </w:p>
    <w:p>
      <w:pPr>
        <w:pStyle w:val="Normal"/>
        <w:jc w:val="both"/>
        <w:rPr>
          <w:color w:val="000000"/>
        </w:rPr>
      </w:pPr>
      <w:r>
        <w:rPr>
          <w:color w:val="000000"/>
          <w:sz w:val="28"/>
          <w:szCs w:val="28"/>
        </w:rPr>
        <w:t xml:space="preserve">    </w:t>
      </w:r>
      <w:r>
        <w:rPr>
          <w:color w:val="000000"/>
          <w:sz w:val="28"/>
          <w:szCs w:val="28"/>
        </w:rPr>
        <w:t>Составление проекта бюджета основывается на социально-экономическом прогнозе  Порздневского сельского поселения, что соответствует Порядку составления проекта бюджета Порздневского сельского поселения, утвержденного постановлением администрации Порздневского сельского поселения от 24.06.2013г.№ 41, а также требованиям БК РФ.</w:t>
      </w:r>
    </w:p>
    <w:p>
      <w:pPr>
        <w:pStyle w:val="Normal"/>
        <w:jc w:val="center"/>
        <w:rPr>
          <w:color w:val="000000"/>
        </w:rPr>
      </w:pPr>
      <w:r>
        <w:rPr>
          <w:b/>
          <w:color w:val="000000"/>
          <w:sz w:val="28"/>
          <w:szCs w:val="28"/>
        </w:rPr>
        <w:t>Дефицит бюджета</w:t>
      </w:r>
    </w:p>
    <w:p>
      <w:pPr>
        <w:pStyle w:val="Normal"/>
        <w:jc w:val="both"/>
        <w:rPr>
          <w:color w:val="000000"/>
        </w:rPr>
      </w:pPr>
      <w:r>
        <w:rPr>
          <w:color w:val="000000"/>
          <w:sz w:val="28"/>
          <w:szCs w:val="28"/>
        </w:rPr>
        <w:t xml:space="preserve">     </w:t>
      </w:r>
      <w:r>
        <w:rPr>
          <w:color w:val="000000"/>
          <w:sz w:val="28"/>
          <w:szCs w:val="28"/>
        </w:rPr>
        <w:t xml:space="preserve">Согласно статье 1 проекта бюджета Порздневского сельского поселения   дефицит  бюджета на 2025 год и плановый период 2026 и 2027 гг. не прогнозируется.    </w:t>
      </w:r>
    </w:p>
    <w:p>
      <w:pPr>
        <w:pStyle w:val="Normal"/>
        <w:ind w:firstLine="567"/>
        <w:jc w:val="center"/>
        <w:rPr>
          <w:color w:val="000000"/>
        </w:rPr>
      </w:pPr>
      <w:r>
        <w:rPr>
          <w:b/>
          <w:color w:val="000000"/>
          <w:sz w:val="28"/>
          <w:szCs w:val="28"/>
        </w:rPr>
        <w:t>Условно утвержденные расходы</w:t>
      </w:r>
    </w:p>
    <w:p>
      <w:pPr>
        <w:pStyle w:val="Normal"/>
        <w:jc w:val="both"/>
        <w:rPr>
          <w:color w:val="000000"/>
        </w:rPr>
      </w:pPr>
      <w:r>
        <w:rPr>
          <w:color w:val="000000"/>
          <w:sz w:val="28"/>
          <w:szCs w:val="28"/>
        </w:rPr>
        <w:t xml:space="preserve">     </w:t>
      </w:r>
      <w:r>
        <w:rPr>
          <w:color w:val="000000"/>
          <w:sz w:val="28"/>
          <w:szCs w:val="28"/>
        </w:rPr>
        <w:t>Согласно абзацу седьмому пункта 3 статьи 184.1 БК РФ проект решения о бюджете устанавливает в пункте 1 части 3 статьи 5 общий объем условно утвержденных расходов на 2026г. в объеме 259 480,19 руб. (не менее 2,5%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 на 2027 год в объеме 431 270,19 руб. (не менее 5,0%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w:t>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center"/>
        <w:rPr>
          <w:color w:val="000000"/>
        </w:rPr>
      </w:pPr>
      <w:r>
        <w:rPr>
          <w:b/>
          <w:color w:val="000000"/>
          <w:sz w:val="28"/>
          <w:szCs w:val="28"/>
        </w:rPr>
        <w:t>Резервный фонд</w:t>
      </w:r>
    </w:p>
    <w:p>
      <w:pPr>
        <w:pStyle w:val="Normal"/>
        <w:jc w:val="both"/>
        <w:rPr>
          <w:color w:val="000000"/>
        </w:rPr>
      </w:pPr>
      <w:r>
        <w:rPr>
          <w:color w:val="000000"/>
          <w:sz w:val="28"/>
          <w:szCs w:val="28"/>
        </w:rPr>
        <w:t xml:space="preserve">    </w:t>
      </w:r>
    </w:p>
    <w:p>
      <w:pPr>
        <w:pStyle w:val="Normal"/>
        <w:jc w:val="both"/>
        <w:rPr>
          <w:color w:val="000000"/>
        </w:rPr>
      </w:pPr>
      <w:r>
        <w:rPr>
          <w:color w:val="000000"/>
          <w:sz w:val="28"/>
          <w:szCs w:val="28"/>
        </w:rPr>
        <w:t xml:space="preserve">   </w:t>
      </w: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В соответствии с требованиями п. 1 ст.81 Бюджетного кодекса РФ   проектом решения о бюджете  установлен резервный фонд   администрации Порздневского сельского поселения.   </w:t>
      </w:r>
    </w:p>
    <w:p>
      <w:pPr>
        <w:pStyle w:val="Normal"/>
        <w:jc w:val="both"/>
        <w:rPr>
          <w:color w:val="000000"/>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Согласно пункту 3 статьи 81 Бюджетного кодекса РФ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pPr>
        <w:pStyle w:val="Normal"/>
        <w:jc w:val="both"/>
        <w:rPr>
          <w:color w:val="000000"/>
        </w:rPr>
      </w:pPr>
      <w:r>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В  проекте решения о бюджете поселения средства резервного фонда Порздневского сельского поселения  заложены  в размере: на 2025 г. в сумме 20 000,00 руб., 2026 и 2027 г.г.  по 50 000,0 руб. ежегодно.</w:t>
      </w:r>
    </w:p>
    <w:p>
      <w:pPr>
        <w:pStyle w:val="Normal"/>
        <w:spacing w:before="0" w:after="0"/>
        <w:contextualSpacing/>
        <w:jc w:val="center"/>
        <w:rPr>
          <w:color w:val="000000"/>
        </w:rPr>
      </w:pPr>
      <w:r>
        <w:rPr>
          <w:b/>
          <w:color w:val="000000"/>
          <w:sz w:val="28"/>
          <w:szCs w:val="28"/>
        </w:rPr>
        <w:t>Муниципальные заимствования Порздневского сельского поселения</w:t>
      </w:r>
    </w:p>
    <w:p>
      <w:pPr>
        <w:pStyle w:val="Normal"/>
        <w:spacing w:before="0" w:after="0"/>
        <w:contextualSpacing/>
        <w:jc w:val="both"/>
        <w:rPr>
          <w:color w:val="000000"/>
        </w:rPr>
      </w:pPr>
      <w:r>
        <w:rPr>
          <w:color w:val="000000"/>
          <w:sz w:val="28"/>
          <w:szCs w:val="28"/>
        </w:rPr>
        <w:t xml:space="preserve">     </w:t>
      </w:r>
      <w:r>
        <w:rPr>
          <w:color w:val="000000"/>
          <w:sz w:val="28"/>
          <w:szCs w:val="28"/>
        </w:rPr>
        <w:t>Привлечение и погашение бюджетных кредитов от других бюджетов бюджетной системы Российской Федерации (кредитных организаций), а также предоставление бюджетных кредитов другим бюджетам бюджетной системы Российской Федерации Порздневским сельским поселением в 2025-2027 годах не запланировано.</w:t>
      </w:r>
    </w:p>
    <w:p>
      <w:pPr>
        <w:pStyle w:val="Normal"/>
        <w:spacing w:before="0" w:after="0"/>
        <w:contextualSpacing/>
        <w:jc w:val="center"/>
        <w:rPr>
          <w:color w:val="000000"/>
        </w:rPr>
      </w:pPr>
      <w:r>
        <w:rPr>
          <w:b/>
          <w:color w:val="000000"/>
          <w:sz w:val="28"/>
          <w:szCs w:val="28"/>
        </w:rPr>
        <w:t>Муниципальные гарантии Порздневского сельского поселения</w:t>
      </w:r>
    </w:p>
    <w:p>
      <w:pPr>
        <w:pStyle w:val="Normal"/>
        <w:spacing w:before="0" w:after="0"/>
        <w:contextualSpacing/>
        <w:jc w:val="both"/>
        <w:rPr>
          <w:color w:val="000000"/>
        </w:rPr>
      </w:pPr>
      <w:r>
        <w:rPr>
          <w:color w:val="000000"/>
          <w:sz w:val="28"/>
          <w:szCs w:val="28"/>
        </w:rPr>
        <w:t xml:space="preserve">     </w:t>
      </w:r>
      <w:r>
        <w:rPr>
          <w:color w:val="000000"/>
          <w:sz w:val="28"/>
          <w:szCs w:val="28"/>
        </w:rPr>
        <w:t>Предоставление и исполнение муниципальных гарантий Порздневским сельским поселением в 2025-2027 годах не запланировано.</w:t>
      </w:r>
    </w:p>
    <w:p>
      <w:pPr>
        <w:pStyle w:val="Normal"/>
        <w:spacing w:before="0" w:after="0"/>
        <w:contextualSpacing/>
        <w:jc w:val="center"/>
        <w:rPr>
          <w:color w:val="000000"/>
        </w:rPr>
      </w:pPr>
      <w:r>
        <w:rPr>
          <w:b/>
          <w:color w:val="000000"/>
          <w:sz w:val="28"/>
          <w:szCs w:val="28"/>
        </w:rPr>
        <w:t>Муниципальный долг Порздневского сельского поселения</w:t>
      </w:r>
    </w:p>
    <w:p>
      <w:pPr>
        <w:pStyle w:val="Normal"/>
        <w:spacing w:before="0" w:after="0"/>
        <w:contextualSpacing/>
        <w:jc w:val="both"/>
        <w:rPr>
          <w:color w:val="000000"/>
        </w:rPr>
      </w:pPr>
      <w:r>
        <w:rPr>
          <w:color w:val="000000"/>
          <w:sz w:val="28"/>
          <w:szCs w:val="28"/>
        </w:rPr>
        <w:t xml:space="preserve">     </w:t>
      </w:r>
      <w:r>
        <w:rPr>
          <w:color w:val="000000"/>
          <w:sz w:val="28"/>
          <w:szCs w:val="28"/>
        </w:rPr>
        <w:t>Предельный объем муниципального долга Порздневского сельского поселения  на 2025 год и плановый период 2026 и 2027 годов запланировано в сумме 0,00 руб.</w:t>
      </w:r>
    </w:p>
    <w:p>
      <w:pPr>
        <w:pStyle w:val="Normal"/>
        <w:spacing w:before="0" w:after="0"/>
        <w:contextualSpacing/>
        <w:jc w:val="both"/>
        <w:rPr>
          <w:color w:val="000000"/>
        </w:rPr>
      </w:pPr>
      <w:r>
        <w:rPr>
          <w:color w:val="000000"/>
          <w:sz w:val="28"/>
          <w:szCs w:val="28"/>
        </w:rPr>
        <w:t xml:space="preserve">     </w:t>
      </w:r>
      <w:r>
        <w:rPr>
          <w:color w:val="000000"/>
          <w:sz w:val="28"/>
          <w:szCs w:val="28"/>
        </w:rPr>
        <w:t>Верхний предел муниципального долга Порздневского сельского поселения на 01 января 2025 года, на 01 января  2026 года и на 01 января 2027 года запланирован в сумме 0,00 руб.</w:t>
      </w:r>
    </w:p>
    <w:p>
      <w:pPr>
        <w:pStyle w:val="Normal"/>
        <w:spacing w:before="0" w:after="0"/>
        <w:contextualSpacing/>
        <w:jc w:val="both"/>
        <w:rPr>
          <w:color w:val="000000"/>
        </w:rPr>
      </w:pPr>
      <w:r>
        <w:rPr>
          <w:color w:val="000000"/>
          <w:sz w:val="28"/>
          <w:szCs w:val="28"/>
        </w:rPr>
        <w:t xml:space="preserve">     </w:t>
      </w:r>
      <w:r>
        <w:rPr>
          <w:color w:val="000000"/>
          <w:sz w:val="28"/>
          <w:szCs w:val="28"/>
        </w:rPr>
        <w:t>Предельный объем расходов бюджета Порздневского сельского поселения на обслуживание муниципального долга Порздневского сельского поселения на 2025 год и на плановый период 2026 и 2027 годов запланирован в сумме 0,00 руб.</w:t>
      </w:r>
    </w:p>
    <w:p>
      <w:pPr>
        <w:pStyle w:val="Normal"/>
        <w:ind w:firstLine="708"/>
        <w:jc w:val="center"/>
        <w:rPr>
          <w:color w:val="000000"/>
        </w:rPr>
      </w:pPr>
      <w:r>
        <w:rPr>
          <w:b/>
          <w:color w:val="000000"/>
          <w:sz w:val="28"/>
          <w:szCs w:val="28"/>
        </w:rPr>
        <w:t>Выводы и предложения</w:t>
      </w:r>
    </w:p>
    <w:p>
      <w:pPr>
        <w:pStyle w:val="Normal"/>
        <w:jc w:val="both"/>
        <w:rPr>
          <w:color w:val="000000"/>
        </w:rPr>
      </w:pPr>
      <w:r>
        <w:rPr>
          <w:color w:val="000000"/>
          <w:sz w:val="28"/>
          <w:szCs w:val="28"/>
        </w:rPr>
        <w:t xml:space="preserve">     </w:t>
      </w:r>
      <w:r>
        <w:rPr>
          <w:color w:val="000000"/>
          <w:sz w:val="28"/>
          <w:szCs w:val="28"/>
        </w:rPr>
        <w:t xml:space="preserve">По результатам экспертно-аналитического мероприятия </w:t>
      </w:r>
      <w:r>
        <w:rPr>
          <w:rFonts w:eastAsia="Calibri" w:eastAsiaTheme="minorHAnsi"/>
          <w:color w:val="000000"/>
          <w:sz w:val="28"/>
          <w:szCs w:val="28"/>
          <w:lang w:eastAsia="en-US"/>
        </w:rPr>
        <w:t>Контрольно-счетный орган Лухского муниципального района, позволяет сделать следующие основные выводы:</w:t>
      </w:r>
    </w:p>
    <w:p>
      <w:pPr>
        <w:pStyle w:val="Normal"/>
        <w:jc w:val="both"/>
        <w:rPr>
          <w:color w:val="000000"/>
        </w:rPr>
      </w:pPr>
      <w:r>
        <w:rPr>
          <w:rFonts w:eastAsia="Calibri" w:eastAsiaTheme="minorHAnsi"/>
          <w:color w:val="000000"/>
          <w:sz w:val="28"/>
          <w:szCs w:val="28"/>
          <w:lang w:eastAsia="en-US"/>
        </w:rPr>
        <w:t xml:space="preserve">     </w:t>
      </w:r>
      <w:r>
        <w:rPr>
          <w:rFonts w:eastAsia="Calibri" w:eastAsiaTheme="minorHAnsi"/>
          <w:color w:val="000000"/>
          <w:sz w:val="28"/>
          <w:szCs w:val="28"/>
          <w:lang w:eastAsia="en-US"/>
        </w:rPr>
        <w:t>1. Проект решения Совета Порздневского сельского поселения «О бюджете Порздневского сельского поселения на 2025 год и плановый период 2026 и 2027гг.» подготовлен в соответствии с Бюджетным кодексом Российской Федерации, Положением о бюджетном процессе в Порздневском сельском поселении, иными нормативными правовыми актами, регулирующими вопросы бюджетного планирования и бюджетной деятельности.</w:t>
      </w:r>
    </w:p>
    <w:p>
      <w:pPr>
        <w:pStyle w:val="Normal"/>
        <w:jc w:val="both"/>
        <w:rPr>
          <w:color w:val="000000"/>
        </w:rPr>
      </w:pPr>
      <w:r>
        <w:rPr>
          <w:rFonts w:eastAsia="Calibri" w:eastAsiaTheme="minorHAnsi"/>
          <w:color w:val="000000"/>
          <w:sz w:val="28"/>
          <w:szCs w:val="28"/>
          <w:lang w:eastAsia="en-US"/>
        </w:rPr>
        <w:t xml:space="preserve">     </w:t>
      </w:r>
      <w:r>
        <w:rPr>
          <w:rFonts w:eastAsia="Calibri" w:eastAsiaTheme="minorHAnsi"/>
          <w:color w:val="000000"/>
          <w:sz w:val="28"/>
          <w:szCs w:val="28"/>
          <w:lang w:eastAsia="en-US"/>
        </w:rPr>
        <w:t>2. С проектом бюджета представлены все документы и материалы в соответствии со ст.184.2 БК РФ, ст.8 Положения о бюджетном процессе.</w:t>
      </w:r>
    </w:p>
    <w:p>
      <w:pPr>
        <w:pStyle w:val="Normal"/>
        <w:jc w:val="both"/>
        <w:rPr>
          <w:color w:val="000000"/>
        </w:rPr>
      </w:pPr>
      <w:r>
        <w:rPr>
          <w:rFonts w:eastAsia="Calibri" w:eastAsiaTheme="minorHAnsi"/>
          <w:color w:val="000000"/>
          <w:sz w:val="28"/>
          <w:szCs w:val="28"/>
          <w:lang w:eastAsia="en-US"/>
        </w:rPr>
        <w:t xml:space="preserve">     </w:t>
      </w:r>
      <w:r>
        <w:rPr>
          <w:rFonts w:eastAsia="Calibri" w:eastAsiaTheme="minorHAnsi"/>
          <w:color w:val="000000"/>
          <w:sz w:val="28"/>
          <w:szCs w:val="28"/>
          <w:lang w:eastAsia="en-US"/>
        </w:rPr>
        <w:t>3. Бюджет Порздневского сельского поселения на 2025 год сформирован:</w:t>
      </w:r>
    </w:p>
    <w:p>
      <w:pPr>
        <w:pStyle w:val="Normal"/>
        <w:jc w:val="both"/>
        <w:rPr>
          <w:color w:val="000000"/>
        </w:rPr>
      </w:pPr>
      <w:r>
        <w:rPr>
          <w:rFonts w:eastAsia="Calibri" w:eastAsiaTheme="minorHAnsi"/>
          <w:color w:val="000000"/>
          <w:sz w:val="28"/>
          <w:szCs w:val="28"/>
          <w:lang w:eastAsia="en-US"/>
        </w:rPr>
        <w:t>- по доходам в сумме  14 598 430,12 руб.</w:t>
      </w:r>
    </w:p>
    <w:p>
      <w:pPr>
        <w:pStyle w:val="Normal"/>
        <w:jc w:val="both"/>
        <w:rPr>
          <w:color w:val="000000"/>
        </w:rPr>
      </w:pPr>
      <w:r>
        <w:rPr>
          <w:rFonts w:eastAsia="Calibri" w:eastAsiaTheme="minorHAnsi"/>
          <w:color w:val="000000"/>
          <w:sz w:val="28"/>
          <w:szCs w:val="28"/>
          <w:lang w:eastAsia="en-US"/>
        </w:rPr>
        <w:t>- по расходам в сумме 14 598 430,12 руб.,</w:t>
      </w:r>
    </w:p>
    <w:p>
      <w:pPr>
        <w:pStyle w:val="Normal"/>
        <w:jc w:val="both"/>
        <w:rPr>
          <w:color w:val="000000"/>
        </w:rPr>
      </w:pPr>
      <w:r>
        <w:rPr>
          <w:rFonts w:eastAsia="Calibri" w:eastAsiaTheme="minorHAnsi"/>
          <w:color w:val="000000"/>
          <w:sz w:val="28"/>
          <w:szCs w:val="28"/>
          <w:lang w:eastAsia="en-US"/>
        </w:rPr>
        <w:t>- дефицит в сумме 0,0 руб.,</w:t>
      </w:r>
    </w:p>
    <w:p>
      <w:pPr>
        <w:pStyle w:val="Normal"/>
        <w:jc w:val="both"/>
        <w:rPr>
          <w:color w:val="000000"/>
        </w:rPr>
      </w:pPr>
      <w:r>
        <w:rPr>
          <w:rFonts w:eastAsia="Calibri" w:eastAsiaTheme="minorHAnsi"/>
          <w:color w:val="000000"/>
          <w:sz w:val="28"/>
          <w:szCs w:val="28"/>
          <w:lang w:eastAsia="en-US"/>
        </w:rPr>
        <w:t xml:space="preserve">    </w:t>
      </w:r>
      <w:r>
        <w:rPr>
          <w:rFonts w:eastAsia="Calibri" w:eastAsiaTheme="minorHAnsi"/>
          <w:color w:val="000000"/>
          <w:sz w:val="28"/>
          <w:szCs w:val="28"/>
          <w:lang w:eastAsia="en-US"/>
        </w:rPr>
        <w:t>Бюджет на 2026 и 2027 года сформирован:</w:t>
      </w:r>
    </w:p>
    <w:p>
      <w:pPr>
        <w:pStyle w:val="Normal"/>
        <w:jc w:val="both"/>
        <w:rPr>
          <w:color w:val="000000"/>
        </w:rPr>
      </w:pPr>
      <w:r>
        <w:rPr>
          <w:rFonts w:eastAsia="Calibri" w:eastAsiaTheme="minorHAnsi"/>
          <w:color w:val="000000"/>
          <w:sz w:val="28"/>
          <w:szCs w:val="28"/>
          <w:lang w:eastAsia="en-US"/>
        </w:rPr>
        <w:t>- по доходам в сумме 11 662 423,19 руб. и 10 155 063,19 руб. соответственно. К уровню предыдущего года в 2026 году предполагается уменьшение доходов на 20,1%,  в 2027году – уменьшение на 12,9%;</w:t>
      </w:r>
    </w:p>
    <w:p>
      <w:pPr>
        <w:pStyle w:val="Normal"/>
        <w:jc w:val="both"/>
        <w:rPr>
          <w:color w:val="000000"/>
        </w:rPr>
      </w:pPr>
      <w:r>
        <w:rPr>
          <w:rFonts w:eastAsia="Calibri" w:eastAsiaTheme="minorHAnsi"/>
          <w:color w:val="000000"/>
          <w:sz w:val="28"/>
          <w:szCs w:val="28"/>
          <w:lang w:eastAsia="en-US"/>
        </w:rPr>
        <w:t>- по расходам в сумме 11 662 423,19 руб. и 10 155 063,19 руб. соответственно. К уровню предыдущего года в 2026 году предполагается уменьшение доходов на 20,1%,  в 2027году – уменьшение на 12,9%.</w:t>
      </w:r>
    </w:p>
    <w:p>
      <w:pPr>
        <w:pStyle w:val="Normal"/>
        <w:jc w:val="both"/>
        <w:rPr>
          <w:color w:val="000000"/>
        </w:rPr>
      </w:pPr>
      <w:r>
        <w:rPr>
          <w:rFonts w:eastAsia="Calibri" w:eastAsiaTheme="minorHAnsi"/>
          <w:color w:val="000000"/>
          <w:sz w:val="28"/>
          <w:szCs w:val="28"/>
          <w:lang w:eastAsia="en-US"/>
        </w:rPr>
        <w:t xml:space="preserve">     </w:t>
      </w:r>
      <w:r>
        <w:rPr>
          <w:rFonts w:eastAsia="Calibri" w:eastAsiaTheme="minorHAnsi"/>
          <w:color w:val="000000"/>
          <w:sz w:val="28"/>
          <w:szCs w:val="28"/>
          <w:lang w:eastAsia="en-US"/>
        </w:rPr>
        <w:t>4. Доходы бюджета поселения (без учета безвозмездных поступлений) планируются в следующих объемах:</w:t>
      </w:r>
    </w:p>
    <w:p>
      <w:pPr>
        <w:pStyle w:val="Normal"/>
        <w:jc w:val="both"/>
        <w:rPr>
          <w:color w:val="000000"/>
        </w:rPr>
      </w:pPr>
      <w:r>
        <w:rPr>
          <w:rFonts w:eastAsia="Calibri" w:eastAsiaTheme="minorHAnsi"/>
          <w:color w:val="000000"/>
          <w:sz w:val="28"/>
          <w:szCs w:val="28"/>
          <w:lang w:eastAsia="en-US"/>
        </w:rPr>
        <w:t>на 2025 год – 333 120,26 руб.;</w:t>
      </w:r>
    </w:p>
    <w:p>
      <w:pPr>
        <w:pStyle w:val="Normal"/>
        <w:jc w:val="both"/>
        <w:rPr>
          <w:color w:val="000000"/>
        </w:rPr>
      </w:pPr>
      <w:r>
        <w:rPr>
          <w:rFonts w:eastAsia="Calibri" w:eastAsiaTheme="minorHAnsi"/>
          <w:color w:val="000000"/>
          <w:sz w:val="28"/>
          <w:szCs w:val="28"/>
          <w:lang w:eastAsia="en-US"/>
        </w:rPr>
        <w:t>на 2026 год –  288 600,0 руб.;</w:t>
      </w:r>
    </w:p>
    <w:p>
      <w:pPr>
        <w:pStyle w:val="Normal"/>
        <w:jc w:val="both"/>
        <w:rPr>
          <w:color w:val="000000"/>
        </w:rPr>
      </w:pPr>
      <w:r>
        <w:rPr>
          <w:rFonts w:eastAsia="Calibri" w:eastAsiaTheme="minorHAnsi"/>
          <w:color w:val="000000"/>
          <w:sz w:val="28"/>
          <w:szCs w:val="28"/>
          <w:lang w:eastAsia="en-US"/>
        </w:rPr>
        <w:t>на 2027 год – 288 600,0 руб.;</w:t>
      </w:r>
    </w:p>
    <w:p>
      <w:pPr>
        <w:pStyle w:val="Normal"/>
        <w:jc w:val="both"/>
        <w:rPr>
          <w:color w:val="000000"/>
        </w:rPr>
      </w:pPr>
      <w:r>
        <w:rPr>
          <w:rFonts w:eastAsia="Calibri" w:eastAsiaTheme="minorHAnsi"/>
          <w:color w:val="000000"/>
          <w:sz w:val="28"/>
          <w:szCs w:val="28"/>
          <w:lang w:eastAsia="en-US"/>
        </w:rPr>
        <w:t xml:space="preserve">     </w:t>
      </w:r>
      <w:r>
        <w:rPr>
          <w:rFonts w:eastAsia="Calibri" w:eastAsiaTheme="minorHAnsi"/>
          <w:color w:val="000000"/>
          <w:sz w:val="28"/>
          <w:szCs w:val="28"/>
          <w:lang w:eastAsia="en-US"/>
        </w:rPr>
        <w:t>5. Объем безвозмездных поступлений в доход бюджета поселения составит:</w:t>
      </w:r>
    </w:p>
    <w:p>
      <w:pPr>
        <w:pStyle w:val="Normal"/>
        <w:jc w:val="both"/>
        <w:rPr>
          <w:color w:val="000000"/>
        </w:rPr>
      </w:pPr>
      <w:r>
        <w:rPr>
          <w:rFonts w:eastAsia="Calibri" w:eastAsiaTheme="minorHAnsi"/>
          <w:color w:val="000000"/>
          <w:sz w:val="28"/>
          <w:szCs w:val="28"/>
          <w:lang w:eastAsia="en-US"/>
        </w:rPr>
        <w:t>в 2025 году – 14 265 309,86 руб., или 97,7 % в общем объеме доходов;</w:t>
      </w:r>
    </w:p>
    <w:p>
      <w:pPr>
        <w:pStyle w:val="Normal"/>
        <w:jc w:val="both"/>
        <w:rPr>
          <w:color w:val="000000"/>
        </w:rPr>
      </w:pPr>
      <w:r>
        <w:rPr>
          <w:rFonts w:eastAsia="Calibri" w:eastAsiaTheme="minorHAnsi"/>
          <w:color w:val="000000"/>
          <w:sz w:val="28"/>
          <w:szCs w:val="28"/>
          <w:lang w:eastAsia="en-US"/>
        </w:rPr>
        <w:t>в 2026 году – 11 373 823,19 руб., или 97,5 %;</w:t>
      </w:r>
    </w:p>
    <w:p>
      <w:pPr>
        <w:pStyle w:val="Normal"/>
        <w:jc w:val="both"/>
        <w:rPr>
          <w:color w:val="000000"/>
        </w:rPr>
      </w:pPr>
      <w:r>
        <w:rPr>
          <w:rFonts w:eastAsia="Calibri" w:eastAsiaTheme="minorHAnsi"/>
          <w:color w:val="000000"/>
          <w:sz w:val="28"/>
          <w:szCs w:val="28"/>
          <w:lang w:eastAsia="en-US"/>
        </w:rPr>
        <w:t>в 2027</w:t>
      </w:r>
      <w:bookmarkStart w:id="0" w:name="_GoBack"/>
      <w:bookmarkEnd w:id="0"/>
      <w:r>
        <w:rPr>
          <w:rFonts w:eastAsia="Calibri" w:eastAsiaTheme="minorHAnsi"/>
          <w:color w:val="000000"/>
          <w:sz w:val="28"/>
          <w:szCs w:val="28"/>
          <w:lang w:eastAsia="en-US"/>
        </w:rPr>
        <w:t xml:space="preserve"> году – 9 866 463,19 руб., или 97,2 %.    </w:t>
      </w:r>
    </w:p>
    <w:p>
      <w:pPr>
        <w:pStyle w:val="Normal"/>
        <w:jc w:val="both"/>
        <w:rPr>
          <w:color w:val="000000"/>
        </w:rPr>
      </w:pPr>
      <w:r>
        <w:rPr>
          <w:rFonts w:eastAsia="Calibri" w:eastAsiaTheme="minorHAnsi"/>
          <w:color w:val="000000"/>
          <w:sz w:val="28"/>
          <w:szCs w:val="28"/>
          <w:lang w:eastAsia="en-US"/>
        </w:rPr>
        <w:t xml:space="preserve">     </w:t>
      </w:r>
      <w:r>
        <w:rPr>
          <w:rFonts w:eastAsia="Calibri" w:eastAsiaTheme="minorHAnsi"/>
          <w:color w:val="000000"/>
          <w:sz w:val="28"/>
          <w:szCs w:val="28"/>
          <w:lang w:eastAsia="en-US"/>
        </w:rPr>
        <w:t xml:space="preserve">6. Доля расходов бюджета на финансирование мероприятий восьми муниципальных программ бюджета поселения в 2025г. составит – 96,3% на плановый период в 2026г. составляет </w:t>
      </w:r>
      <w:r>
        <w:rPr>
          <w:color w:val="000000"/>
          <w:sz w:val="28"/>
          <w:szCs w:val="28"/>
        </w:rPr>
        <w:t>98,4%, в 2027г. составляет 98,1</w:t>
      </w:r>
      <w:r>
        <w:rPr>
          <w:rFonts w:eastAsia="Calibri" w:eastAsiaTheme="minorHAnsi"/>
          <w:color w:val="000000"/>
          <w:sz w:val="28"/>
          <w:szCs w:val="28"/>
          <w:lang w:eastAsia="en-US"/>
        </w:rPr>
        <w:t xml:space="preserve">% от общего объема расходов бюджета, что подтверждает программно-целевой принцип формирования бюджета.    </w:t>
      </w:r>
    </w:p>
    <w:p>
      <w:pPr>
        <w:pStyle w:val="Normal"/>
        <w:jc w:val="both"/>
        <w:rPr>
          <w:color w:val="000000"/>
        </w:rPr>
      </w:pPr>
      <w:r>
        <w:rPr>
          <w:rFonts w:eastAsia="Calibri" w:eastAsiaTheme="minorHAnsi"/>
          <w:color w:val="000000"/>
          <w:sz w:val="28"/>
          <w:szCs w:val="28"/>
          <w:lang w:eastAsia="en-US"/>
        </w:rPr>
        <w:t xml:space="preserve">     </w:t>
      </w:r>
      <w:r>
        <w:rPr>
          <w:rFonts w:eastAsia="Calibri" w:eastAsiaTheme="minorHAnsi"/>
          <w:color w:val="000000"/>
          <w:sz w:val="28"/>
          <w:szCs w:val="28"/>
          <w:lang w:eastAsia="en-US"/>
        </w:rPr>
        <w:t>Проведенный анализ проекта решения о бюджете и документов, составляющих основу формирования бюджета, дает основание сделать вывод о возможности принятия проекта бюджета к рассмотрению Советом Порздневского сельского поселения.</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r>
    </w:p>
    <w:p>
      <w:pPr>
        <w:pStyle w:val="Normal"/>
        <w:rPr>
          <w:color w:val="000000"/>
        </w:rPr>
      </w:pPr>
      <w:r>
        <w:rPr>
          <w:color w:val="000000"/>
          <w:sz w:val="28"/>
          <w:szCs w:val="28"/>
        </w:rPr>
        <w:t>Председатель Контрольно– счетного</w:t>
      </w:r>
    </w:p>
    <w:p>
      <w:pPr>
        <w:pStyle w:val="Normal"/>
        <w:rPr>
          <w:color w:val="000000"/>
        </w:rPr>
      </w:pPr>
      <w:r>
        <w:rPr>
          <w:color w:val="000000"/>
          <w:sz w:val="28"/>
          <w:szCs w:val="28"/>
        </w:rPr>
        <w:t>органа Лухского муниципального района:                               О.П.Смирнова</w:t>
      </w:r>
    </w:p>
    <w:p>
      <w:pPr>
        <w:pStyle w:val="Normal"/>
        <w:rPr>
          <w:i/>
          <w:i/>
          <w:color w:val="000000"/>
          <w:sz w:val="28"/>
          <w:szCs w:val="28"/>
        </w:rPr>
      </w:pPr>
      <w:r>
        <w:rPr>
          <w:i/>
          <w:color w:val="000000"/>
          <w:sz w:val="28"/>
          <w:szCs w:val="28"/>
        </w:rPr>
      </w:r>
    </w:p>
    <w:p>
      <w:pPr>
        <w:pStyle w:val="Normal"/>
        <w:rPr>
          <w:color w:val="F10D0C"/>
          <w:sz w:val="28"/>
          <w:szCs w:val="28"/>
        </w:rPr>
      </w:pPr>
      <w:r>
        <w:rPr>
          <w:color w:val="F10D0C"/>
          <w:sz w:val="28"/>
          <w:szCs w:val="28"/>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color w:val="F10D0C"/>
        </w:rPr>
      </w:r>
    </w:p>
    <w:p>
      <w:pPr>
        <w:pStyle w:val="Normal"/>
        <w:rPr>
          <w:color w:val="F10D0C"/>
        </w:rPr>
      </w:pPr>
      <w:r>
        <w:rPr/>
      </w:r>
    </w:p>
    <w:sectPr>
      <w:footerReference w:type="even" r:id="rId4"/>
      <w:footerReference w:type="default" r:id="rId5"/>
      <w:footerReference w:type="first" r:id="rId6"/>
      <w:type w:val="nextPage"/>
      <w:pgSz w:w="11906" w:h="16838"/>
      <w:pgMar w:left="1701" w:right="851" w:gutter="0" w:header="0" w:top="850" w:footer="0" w:bottom="6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ind w:right="360" w:hanging="0"/>
      <w:rPr/>
    </w:pPr>
    <w:r>
      <w:rPr/>
      <w:pict>
        <v:shape id="shape_0" coordsize="4930,4932" path="m4929,4931l0,4931l0,0l4929,0l4929,4931e" fillcolor="white" stroked="f" o:allowincell="f" style="position:absolute;margin-left:87.75pt;margin-top:-140.25pt;width:139.7pt;height:139.75pt;mso-wrap-style:none;v-text-anchor:middle;mso-position-horizontal:right;mso-position-horizontal-relative:margin">
          <v:fill o:detectmouseclick="t" type="solid" color2="black" opacity="0"/>
          <v:stroke color="#3465a4" joinstyle="round" endcap="flat"/>
          <w10:wrap type="none"/>
        </v:shape>
      </w:pic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25905"/>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FontStyle11" w:customStyle="1">
    <w:name w:val="Font Style11"/>
    <w:qFormat/>
    <w:rsid w:val="00325905"/>
    <w:rPr>
      <w:rFonts w:ascii="Times New Roman" w:hAnsi="Times New Roman" w:cs="Times New Roman"/>
      <w:b/>
      <w:bCs/>
      <w:sz w:val="22"/>
      <w:szCs w:val="22"/>
    </w:rPr>
  </w:style>
  <w:style w:type="character" w:styleId="Style14" w:customStyle="1">
    <w:name w:val="Нижний колонтитул Знак"/>
    <w:basedOn w:val="DefaultParagraphFont"/>
    <w:uiPriority w:val="99"/>
    <w:qFormat/>
    <w:rsid w:val="00325905"/>
    <w:rPr>
      <w:rFonts w:ascii="Times New Roman" w:hAnsi="Times New Roman" w:eastAsia="Times New Roman" w:cs="Times New Roman"/>
      <w:sz w:val="24"/>
      <w:szCs w:val="24"/>
      <w:lang w:eastAsia="ru-RU"/>
    </w:rPr>
  </w:style>
  <w:style w:type="character" w:styleId="Pagenumber">
    <w:name w:val="page number"/>
    <w:basedOn w:val="DefaultParagraphFont"/>
    <w:qFormat/>
    <w:rsid w:val="00325905"/>
    <w:rPr/>
  </w:style>
  <w:style w:type="character" w:styleId="Style15" w:customStyle="1">
    <w:name w:val="Текст выноски Знак"/>
    <w:basedOn w:val="DefaultParagraphFont"/>
    <w:link w:val="BalloonText"/>
    <w:uiPriority w:val="99"/>
    <w:semiHidden/>
    <w:qFormat/>
    <w:rsid w:val="00325905"/>
    <w:rPr>
      <w:rFonts w:ascii="Tahoma" w:hAnsi="Tahoma" w:eastAsia="Times New Roman" w:cs="Tahoma"/>
      <w:sz w:val="16"/>
      <w:szCs w:val="16"/>
      <w:lang w:eastAsia="ru-RU"/>
    </w:rPr>
  </w:style>
  <w:style w:type="character" w:styleId="Style16" w:customStyle="1">
    <w:name w:val="Основной текст Знак"/>
    <w:basedOn w:val="DefaultParagraphFont"/>
    <w:qFormat/>
    <w:rsid w:val="00a542af"/>
    <w:rPr>
      <w:rFonts w:ascii="Times New Roman" w:hAnsi="Times New Roman" w:eastAsia="Times New Roman" w:cs="Times New Roman"/>
      <w:sz w:val="28"/>
      <w:szCs w:val="20"/>
      <w:lang w:eastAsia="ru-RU"/>
    </w:rPr>
  </w:style>
  <w:style w:type="character" w:styleId="Style17" w:customStyle="1">
    <w:name w:val="Без интервала Знак"/>
    <w:link w:val="NoSpacing"/>
    <w:uiPriority w:val="1"/>
    <w:qFormat/>
    <w:rsid w:val="00a542af"/>
    <w:rPr>
      <w:rFonts w:ascii="Calibri" w:hAnsi="Calibri" w:eastAsia="Calibri" w:cs="Times New Roman"/>
    </w:rPr>
  </w:style>
  <w:style w:type="character" w:styleId="Style18" w:customStyle="1">
    <w:name w:val="Основной текст с отступом Знак"/>
    <w:basedOn w:val="DefaultParagraphFont"/>
    <w:qFormat/>
    <w:rsid w:val="00ca2586"/>
    <w:rPr>
      <w:rFonts w:ascii="Times New Roman" w:hAnsi="Times New Roman" w:eastAsia="Times New Roman" w:cs="Times New Roman"/>
      <w:sz w:val="24"/>
      <w:szCs w:val="24"/>
      <w:lang w:eastAsia="ru-RU"/>
    </w:rPr>
  </w:style>
  <w:style w:type="character" w:styleId="Style19" w:customStyle="1">
    <w:name w:val="Верхний колонтитул Знак"/>
    <w:basedOn w:val="DefaultParagraphFont"/>
    <w:uiPriority w:val="99"/>
    <w:semiHidden/>
    <w:qFormat/>
    <w:rsid w:val="00671358"/>
    <w:rPr>
      <w:rFonts w:ascii="Times New Roman" w:hAnsi="Times New Roman" w:eastAsia="Times New Roman" w:cs="Times New Roman"/>
      <w:sz w:val="24"/>
      <w:szCs w:val="24"/>
      <w:lang w:eastAsia="ru-RU"/>
    </w:rPr>
  </w:style>
  <w:style w:type="character" w:styleId="1" w:customStyle="1">
    <w:name w:val="Нижний колонтитул Знак1"/>
    <w:basedOn w:val="DefaultParagraphFont"/>
    <w:semiHidden/>
    <w:qFormat/>
    <w:rsid w:val="00671358"/>
    <w:rPr>
      <w:rFonts w:ascii="Times New Roman" w:hAnsi="Times New Roman" w:eastAsia="Times New Roman" w:cs="Times New Roman"/>
      <w:sz w:val="24"/>
      <w:szCs w:val="24"/>
      <w:lang w:eastAsia="ru-RU"/>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Style16"/>
    <w:rsid w:val="00a542af"/>
    <w:pPr/>
    <w:rPr>
      <w:sz w:val="28"/>
      <w:szCs w:val="20"/>
    </w:rPr>
  </w:style>
  <w:style w:type="paragraph" w:styleId="Style22">
    <w:name w:val="List"/>
    <w:basedOn w:val="Style21"/>
    <w:rsid w:val="004a07dd"/>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lang w:val="zxx" w:eastAsia="zxx" w:bidi="zxx"/>
    </w:rPr>
  </w:style>
  <w:style w:type="paragraph" w:styleId="11" w:customStyle="1">
    <w:name w:val="Заголовок1"/>
    <w:basedOn w:val="Normal"/>
    <w:next w:val="Style21"/>
    <w:qFormat/>
    <w:rsid w:val="004a07dd"/>
    <w:pPr>
      <w:keepNext w:val="true"/>
      <w:spacing w:before="240" w:after="120"/>
    </w:pPr>
    <w:rPr>
      <w:rFonts w:ascii="Liberation Sans" w:hAnsi="Liberation Sans" w:eastAsia="Microsoft YaHei" w:cs="Arial"/>
      <w:sz w:val="28"/>
      <w:szCs w:val="28"/>
    </w:rPr>
  </w:style>
  <w:style w:type="paragraph" w:styleId="12" w:customStyle="1">
    <w:name w:val="Название объекта1"/>
    <w:basedOn w:val="Normal"/>
    <w:qFormat/>
    <w:rsid w:val="004a07dd"/>
    <w:pPr>
      <w:suppressLineNumbers/>
      <w:spacing w:before="120" w:after="120"/>
    </w:pPr>
    <w:rPr>
      <w:rFonts w:cs="Arial"/>
      <w:i/>
      <w:iCs/>
    </w:rPr>
  </w:style>
  <w:style w:type="paragraph" w:styleId="Indexheading">
    <w:name w:val="index heading"/>
    <w:basedOn w:val="Normal"/>
    <w:qFormat/>
    <w:rsid w:val="004a07dd"/>
    <w:pPr>
      <w:suppressLineNumbers/>
    </w:pPr>
    <w:rPr>
      <w:rFonts w:cs="Arial"/>
    </w:rPr>
  </w:style>
  <w:style w:type="paragraph" w:styleId="Default" w:customStyle="1">
    <w:name w:val="Default"/>
    <w:qFormat/>
    <w:rsid w:val="00325905"/>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Style25" w:customStyle="1">
    <w:name w:val="Колонтитул"/>
    <w:basedOn w:val="Normal"/>
    <w:qFormat/>
    <w:rsid w:val="004a07dd"/>
    <w:pPr/>
    <w:rPr/>
  </w:style>
  <w:style w:type="paragraph" w:styleId="Style26">
    <w:name w:val="Footer"/>
    <w:basedOn w:val="Normal"/>
    <w:link w:val="1"/>
    <w:uiPriority w:val="99"/>
    <w:unhideWhenUsed/>
    <w:rsid w:val="00671358"/>
    <w:pPr>
      <w:tabs>
        <w:tab w:val="clear" w:pos="708"/>
        <w:tab w:val="center" w:pos="4677" w:leader="none"/>
        <w:tab w:val="right" w:pos="9355" w:leader="none"/>
      </w:tabs>
    </w:pPr>
    <w:rPr/>
  </w:style>
  <w:style w:type="paragraph" w:styleId="BalloonText">
    <w:name w:val="Balloon Text"/>
    <w:basedOn w:val="Normal"/>
    <w:link w:val="Style15"/>
    <w:uiPriority w:val="99"/>
    <w:semiHidden/>
    <w:unhideWhenUsed/>
    <w:qFormat/>
    <w:rsid w:val="00325905"/>
    <w:pPr/>
    <w:rPr>
      <w:rFonts w:ascii="Tahoma" w:hAnsi="Tahoma" w:cs="Tahoma"/>
      <w:sz w:val="16"/>
      <w:szCs w:val="16"/>
    </w:rPr>
  </w:style>
  <w:style w:type="paragraph" w:styleId="NoSpacing">
    <w:name w:val="No Spacing"/>
    <w:link w:val="Style17"/>
    <w:uiPriority w:val="1"/>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en-US" w:bidi="ar-SA"/>
    </w:rPr>
  </w:style>
  <w:style w:type="paragraph" w:styleId="2" w:customStyle="1">
    <w:name w:val="Стиль2"/>
    <w:basedOn w:val="Normal"/>
    <w:qFormat/>
    <w:rsid w:val="00a542af"/>
    <w:pPr>
      <w:ind w:firstLine="709"/>
      <w:jc w:val="both"/>
    </w:pPr>
    <w:rPr>
      <w:sz w:val="28"/>
      <w:szCs w:val="20"/>
    </w:rPr>
  </w:style>
  <w:style w:type="paragraph" w:styleId="ProTab" w:customStyle="1">
    <w:name w:val="Pro-Tab"/>
    <w:basedOn w:val="Normal"/>
    <w:qFormat/>
    <w:rsid w:val="007013de"/>
    <w:pPr>
      <w:spacing w:before="40" w:after="40"/>
    </w:pPr>
    <w:rPr>
      <w:rFonts w:ascii="Tahoma" w:hAnsi="Tahoma"/>
      <w:sz w:val="16"/>
      <w:szCs w:val="20"/>
    </w:rPr>
  </w:style>
  <w:style w:type="paragraph" w:styleId="Style27">
    <w:name w:val="Body Text Indent"/>
    <w:basedOn w:val="Normal"/>
    <w:link w:val="Style18"/>
    <w:rsid w:val="00ca2586"/>
    <w:pPr>
      <w:spacing w:before="0" w:after="120"/>
      <w:ind w:left="283" w:hanging="0"/>
    </w:pPr>
    <w:rPr/>
  </w:style>
  <w:style w:type="paragraph" w:styleId="ConsNormal" w:customStyle="1">
    <w:name w:val="ConsNormal"/>
    <w:qFormat/>
    <w:rsid w:val="0060478c"/>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Style28" w:customStyle="1">
    <w:name w:val="Содержимое врезки"/>
    <w:basedOn w:val="Normal"/>
    <w:qFormat/>
    <w:rsid w:val="004a07dd"/>
    <w:pPr/>
    <w:rPr/>
  </w:style>
  <w:style w:type="paragraph" w:styleId="Style29">
    <w:name w:val="Header"/>
    <w:basedOn w:val="Normal"/>
    <w:link w:val="Style19"/>
    <w:uiPriority w:val="99"/>
    <w:semiHidden/>
    <w:unhideWhenUsed/>
    <w:rsid w:val="00671358"/>
    <w:pPr>
      <w:tabs>
        <w:tab w:val="clear" w:pos="708"/>
        <w:tab w:val="center" w:pos="4677" w:leader="none"/>
        <w:tab w:val="right" w:pos="9355" w:leader="none"/>
      </w:tabs>
    </w:pPr>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325905"/>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hart" Target="charts/chart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_____Microsoft_Excel.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solidFill>
          <a:srgbClr val="c0c0c0"/>
        </a:solidFill>
        <a:ln w="3240">
          <a:solidFill>
            <a:srgbClr val="000000"/>
          </a:solidFill>
          <a:round/>
        </a:ln>
      </c:spPr>
    </c:floor>
    <c:sideWall>
      <c:spPr>
        <a:solidFill>
          <a:srgbClr val="c0c0c0"/>
        </a:solidFill>
        <a:ln w="12600">
          <a:solidFill>
            <a:srgbClr val="808080"/>
          </a:solidFill>
          <a:round/>
        </a:ln>
      </c:spPr>
    </c:sideWall>
    <c:backWall>
      <c:spPr>
        <a:solidFill>
          <a:srgbClr val="c0c0c0"/>
        </a:solidFill>
        <a:ln w="12600">
          <a:solidFill>
            <a:srgbClr val="808080"/>
          </a:solidFill>
          <a:round/>
        </a:ln>
      </c:spPr>
    </c:backWall>
    <c:plotArea>
      <c:layout>
        <c:manualLayout>
          <c:layoutTarget val="inner"/>
          <c:xMode val="edge"/>
          <c:yMode val="edge"/>
          <c:x val="0.125"/>
          <c:y val="0.0633333333333333"/>
          <c:w val="0.52525"/>
          <c:h val="0.723777777777778"/>
        </c:manualLayout>
      </c:layout>
      <c:bar3DChart>
        <c:barDir val="col"/>
        <c:grouping val="clustered"/>
        <c:varyColors val="0"/>
        <c:ser>
          <c:idx val="0"/>
          <c:order val="0"/>
          <c:tx>
            <c:strRef>
              <c:f>label 0</c:f>
              <c:strCache>
                <c:ptCount val="1"/>
                <c:pt idx="0">
                  <c:v>общегосударственные вопросы</c:v>
                </c:pt>
              </c:strCache>
            </c:strRef>
          </c:tx>
          <c:spPr>
            <a:solidFill>
              <a:srgbClr val="9999ff"/>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0</c:f>
              <c:numCache>
                <c:formatCode>General</c:formatCode>
                <c:ptCount val="4"/>
                <c:pt idx="0">
                  <c:v>4738</c:v>
                </c:pt>
                <c:pt idx="1">
                  <c:v>5134.2</c:v>
                </c:pt>
                <c:pt idx="2">
                  <c:v>4922.4</c:v>
                </c:pt>
                <c:pt idx="3">
                  <c:v>4062.4</c:v>
                </c:pt>
              </c:numCache>
            </c:numRef>
          </c:val>
        </c:ser>
        <c:ser>
          <c:idx val="1"/>
          <c:order val="1"/>
          <c:tx>
            <c:strRef>
              <c:f>label 1</c:f>
              <c:strCache>
                <c:ptCount val="1"/>
                <c:pt idx="0">
                  <c:v>национальная экономика</c:v>
                </c:pt>
              </c:strCache>
            </c:strRef>
          </c:tx>
          <c:spPr>
            <a:solidFill>
              <a:srgbClr val="993366"/>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1</c:f>
              <c:numCache>
                <c:formatCode>General</c:formatCode>
                <c:ptCount val="4"/>
                <c:pt idx="0">
                  <c:v>2855.8</c:v>
                </c:pt>
                <c:pt idx="1">
                  <c:v>1145.4</c:v>
                </c:pt>
                <c:pt idx="2">
                  <c:v>1130.4</c:v>
                </c:pt>
                <c:pt idx="3">
                  <c:v>1125.4</c:v>
                </c:pt>
              </c:numCache>
            </c:numRef>
          </c:val>
        </c:ser>
        <c:ser>
          <c:idx val="2"/>
          <c:order val="2"/>
          <c:tx>
            <c:strRef>
              <c:f>label 2</c:f>
              <c:strCache>
                <c:ptCount val="1"/>
                <c:pt idx="0">
                  <c:v>жилищно-коммун. Хозяйство</c:v>
                </c:pt>
              </c:strCache>
            </c:strRef>
          </c:tx>
          <c:spPr>
            <a:solidFill>
              <a:srgbClr val="ffffcc"/>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2</c:f>
              <c:numCache>
                <c:formatCode>General</c:formatCode>
                <c:ptCount val="4"/>
                <c:pt idx="0">
                  <c:v>2740.9</c:v>
                </c:pt>
                <c:pt idx="1">
                  <c:v>1288</c:v>
                </c:pt>
                <c:pt idx="2">
                  <c:v>1008.4</c:v>
                </c:pt>
                <c:pt idx="3">
                  <c:v>751.5</c:v>
                </c:pt>
              </c:numCache>
            </c:numRef>
          </c:val>
        </c:ser>
        <c:ser>
          <c:idx val="3"/>
          <c:order val="3"/>
          <c:tx>
            <c:strRef>
              <c:f>label 3</c:f>
              <c:strCache>
                <c:ptCount val="1"/>
                <c:pt idx="0">
                  <c:v>культура</c:v>
                </c:pt>
              </c:strCache>
            </c:strRef>
          </c:tx>
          <c:spPr>
            <a:solidFill>
              <a:srgbClr val="ccffff"/>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3</c:f>
              <c:numCache>
                <c:formatCode>General</c:formatCode>
                <c:ptCount val="4"/>
                <c:pt idx="0">
                  <c:v>5886.3</c:v>
                </c:pt>
                <c:pt idx="1">
                  <c:v>5721</c:v>
                </c:pt>
                <c:pt idx="2">
                  <c:v>3438</c:v>
                </c:pt>
                <c:pt idx="3">
                  <c:v>3000</c:v>
                </c:pt>
              </c:numCache>
            </c:numRef>
          </c:val>
        </c:ser>
        <c:ser>
          <c:idx val="4"/>
          <c:order val="4"/>
          <c:tx>
            <c:strRef>
              <c:f>label 4</c:f>
              <c:strCache>
                <c:ptCount val="1"/>
                <c:pt idx="0">
                  <c:v>  национальная безопасность</c:v>
                </c:pt>
              </c:strCache>
            </c:strRef>
          </c:tx>
          <c:spPr>
            <a:solidFill>
              <a:srgbClr val="660066"/>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4</c:f>
              <c:numCache>
                <c:formatCode>General</c:formatCode>
                <c:ptCount val="4"/>
                <c:pt idx="0">
                  <c:v>716.9</c:v>
                </c:pt>
                <c:pt idx="1">
                  <c:v>640.2</c:v>
                </c:pt>
                <c:pt idx="2">
                  <c:v>396</c:v>
                </c:pt>
                <c:pt idx="3">
                  <c:v>300</c:v>
                </c:pt>
              </c:numCache>
            </c:numRef>
          </c:val>
        </c:ser>
        <c:ser>
          <c:idx val="5"/>
          <c:order val="5"/>
          <c:tx>
            <c:strRef>
              <c:f>label 5</c:f>
              <c:strCache>
                <c:ptCount val="1"/>
                <c:pt idx="0">
                  <c:v> социальная политика</c:v>
                </c:pt>
              </c:strCache>
            </c:strRef>
          </c:tx>
          <c:spPr>
            <a:solidFill>
              <a:srgbClr val="ff8080"/>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5</c:f>
              <c:numCache>
                <c:formatCode>General</c:formatCode>
                <c:ptCount val="4"/>
                <c:pt idx="0">
                  <c:v>324.5</c:v>
                </c:pt>
                <c:pt idx="1">
                  <c:v>324.5</c:v>
                </c:pt>
                <c:pt idx="2">
                  <c:v>324.5</c:v>
                </c:pt>
                <c:pt idx="3">
                  <c:v>300</c:v>
                </c:pt>
              </c:numCache>
            </c:numRef>
          </c:val>
        </c:ser>
        <c:ser>
          <c:idx val="6"/>
          <c:order val="6"/>
          <c:tx>
            <c:strRef>
              <c:f>label 6</c:f>
              <c:strCache>
                <c:ptCount val="1"/>
                <c:pt idx="0">
                  <c:v> национальная оборона</c:v>
                </c:pt>
              </c:strCache>
            </c:strRef>
          </c:tx>
          <c:spPr>
            <a:solidFill>
              <a:srgbClr val="0066cc"/>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6</c:f>
              <c:numCache>
                <c:formatCode>General</c:formatCode>
                <c:ptCount val="4"/>
                <c:pt idx="0">
                  <c:v>138.5</c:v>
                </c:pt>
                <c:pt idx="1">
                  <c:v>158.1</c:v>
                </c:pt>
                <c:pt idx="2">
                  <c:v>173.2</c:v>
                </c:pt>
                <c:pt idx="3">
                  <c:v>179.5</c:v>
                </c:pt>
              </c:numCache>
            </c:numRef>
          </c:val>
        </c:ser>
        <c:ser>
          <c:idx val="7"/>
          <c:order val="7"/>
          <c:tx>
            <c:strRef>
              <c:f>label 7</c:f>
              <c:strCache>
                <c:ptCount val="1"/>
                <c:pt idx="0">
                  <c:v>физ.культура и спорт</c:v>
                </c:pt>
              </c:strCache>
            </c:strRef>
          </c:tx>
          <c:spPr>
            <a:solidFill>
              <a:srgbClr val="ccccff"/>
            </a:solidFill>
            <a:ln w="12600">
              <a:solidFill>
                <a:srgbClr val="000000"/>
              </a:solidFill>
              <a:round/>
            </a:ln>
          </c:spPr>
          <c:invertIfNegative val="0"/>
          <c:dLbls>
            <c:txPr>
              <a:bodyPr wrap="none"/>
              <a:lstStyle/>
              <a:p>
                <a:pPr>
                  <a:defRPr b="0" sz="1000" spc="-1" strike="noStrike">
                    <a:solidFill>
                      <a:srgbClr val="000000"/>
                    </a:solidFill>
                    <a:latin typeface="Arial"/>
                  </a:defRPr>
                </a:pPr>
              </a:p>
            </c:txP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прог. 2024</c:v>
                </c:pt>
                <c:pt idx="1">
                  <c:v>2025 год</c:v>
                </c:pt>
                <c:pt idx="2">
                  <c:v>2026 год</c:v>
                </c:pt>
                <c:pt idx="3">
                  <c:v>2027 год</c:v>
                </c:pt>
              </c:strCache>
            </c:strRef>
          </c:cat>
          <c:val>
            <c:numRef>
              <c:f>7</c:f>
              <c:numCache>
                <c:formatCode>General</c:formatCode>
                <c:ptCount val="4"/>
                <c:pt idx="0">
                  <c:v>16.5</c:v>
                </c:pt>
                <c:pt idx="1">
                  <c:v>7</c:v>
                </c:pt>
                <c:pt idx="2">
                  <c:v>10</c:v>
                </c:pt>
                <c:pt idx="3">
                  <c:v>5</c:v>
                </c:pt>
              </c:numCache>
            </c:numRef>
          </c:val>
        </c:ser>
        <c:gapWidth val="150"/>
        <c:shape val="box"/>
        <c:axId val="1169937"/>
        <c:axId val="46281289"/>
        <c:axId val="0"/>
      </c:bar3DChart>
      <c:catAx>
        <c:axId val="1169937"/>
        <c:scaling>
          <c:orientation val="minMax"/>
        </c:scaling>
        <c:delete val="0"/>
        <c:axPos val="b"/>
        <c:numFmt formatCode="General" sourceLinked="0"/>
        <c:majorTickMark val="out"/>
        <c:minorTickMark val="none"/>
        <c:tickLblPos val="low"/>
        <c:spPr>
          <a:ln w="3240">
            <a:solidFill>
              <a:srgbClr val="000000"/>
            </a:solidFill>
            <a:round/>
          </a:ln>
        </c:spPr>
        <c:txPr>
          <a:bodyPr/>
          <a:lstStyle/>
          <a:p>
            <a:pPr>
              <a:defRPr b="1" lang="en-US" sz="1200" spc="-1" strike="noStrike">
                <a:solidFill>
                  <a:srgbClr val="000000"/>
                </a:solidFill>
                <a:latin typeface="Arial Cyr"/>
                <a:ea typeface="Arial Cyr"/>
              </a:defRPr>
            </a:pPr>
          </a:p>
        </c:txPr>
        <c:crossAx val="46281289"/>
        <c:crosses val="autoZero"/>
        <c:auto val="1"/>
        <c:lblAlgn val="ctr"/>
        <c:lblOffset val="100"/>
        <c:noMultiLvlLbl val="0"/>
      </c:catAx>
      <c:valAx>
        <c:axId val="46281289"/>
        <c:scaling>
          <c:orientation val="minMax"/>
        </c:scaling>
        <c:delete val="0"/>
        <c:axPos val="l"/>
        <c:majorGridlines>
          <c:spPr>
            <a:ln w="3240">
              <a:solidFill>
                <a:srgbClr val="000000"/>
              </a:solidFill>
              <a:round/>
            </a:ln>
          </c:spPr>
        </c:majorGridlines>
        <c:numFmt formatCode="General" sourceLinked="0"/>
        <c:majorTickMark val="out"/>
        <c:minorTickMark val="none"/>
        <c:tickLblPos val="nextTo"/>
        <c:spPr>
          <a:ln w="3240">
            <a:solidFill>
              <a:srgbClr val="000000"/>
            </a:solidFill>
            <a:round/>
          </a:ln>
        </c:spPr>
        <c:txPr>
          <a:bodyPr/>
          <a:lstStyle/>
          <a:p>
            <a:pPr>
              <a:defRPr b="1" lang="en-US" sz="1200" spc="-1" strike="noStrike">
                <a:solidFill>
                  <a:srgbClr val="000000"/>
                </a:solidFill>
                <a:latin typeface="Arial Cyr"/>
                <a:ea typeface="Arial Cyr"/>
              </a:defRPr>
            </a:pPr>
          </a:p>
        </c:txPr>
        <c:crossAx val="1169937"/>
        <c:crossesAt val="1"/>
        <c:crossBetween val="between"/>
      </c:valAx>
    </c:plotArea>
    <c:legend>
      <c:legendPos val="r"/>
      <c:layout>
        <c:manualLayout>
          <c:xMode val="edge"/>
          <c:yMode val="edge"/>
          <c:x val="0.651875"/>
          <c:y val="0.002"/>
          <c:w val="0.321832614538409"/>
          <c:h val="0.941882431381265"/>
        </c:manualLayout>
      </c:layout>
      <c:overlay val="0"/>
      <c:spPr>
        <a:noFill/>
        <a:ln w="3240">
          <a:solidFill>
            <a:srgbClr val="000000"/>
          </a:solidFill>
          <a:round/>
        </a:ln>
      </c:spPr>
      <c:txPr>
        <a:bodyPr/>
        <a:lstStyle/>
        <a:p>
          <a:pPr>
            <a:defRPr b="1" lang="en-US" sz="1100" spc="-1" strike="noStrike">
              <a:solidFill>
                <a:srgbClr val="000000"/>
              </a:solidFill>
              <a:latin typeface="Arial Cyr"/>
              <a:ea typeface="Arial Cyr"/>
            </a:defRPr>
          </a:pPr>
        </a:p>
      </c:txPr>
    </c:legend>
    <c:plotVisOnly val="1"/>
    <c:dispBlanksAs val="gap"/>
  </c:chart>
  <c:spPr>
    <a:noFill/>
    <a:ln w="9360">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356D-23AF-4494-A10A-B584003D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4234</TotalTime>
  <Application>LibreOffice/7.3.4.2$Windows_X86_64 LibreOffice_project/728fec16bd5f605073805c3c9e7c4212a0120dc5</Application>
  <AppVersion>15.0000</AppVersion>
  <Pages>13</Pages>
  <Words>4202</Words>
  <Characters>27527</Characters>
  <CharactersWithSpaces>32446</CharactersWithSpaces>
  <Paragraphs>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2016-12-14T13:58:00Z</dcterms:created>
  <dc:creator>Inna</dc:creator>
  <dc:description/>
  <dc:language>ru-RU</dc:language>
  <cp:lastModifiedBy/>
  <cp:lastPrinted>2025-01-28T09:51:13Z</cp:lastPrinted>
  <dcterms:modified xsi:type="dcterms:W3CDTF">2025-01-28T09:53:42Z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